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81C36D">
      <w:pPr>
        <w:pageBreakBefore w:val="0"/>
        <w:widowControl/>
        <w:kinsoku w:val="0"/>
        <w:wordWrap/>
        <w:overflowPunct/>
        <w:topLinePunct w:val="0"/>
        <w:autoSpaceDE w:val="0"/>
        <w:autoSpaceDN w:val="0"/>
        <w:bidi w:val="0"/>
        <w:adjustRightInd w:val="0"/>
        <w:snapToGrid w:val="0"/>
        <w:spacing w:line="360" w:lineRule="auto"/>
        <w:jc w:val="center"/>
        <w:textAlignment w:val="baseline"/>
        <w:outlineLvl w:val="0"/>
        <w:rPr>
          <w:rFonts w:hint="eastAsia" w:ascii="仿宋_GB2312" w:hAnsi="仿宋_GB2312" w:eastAsia="仿宋_GB2312" w:cs="仿宋_GB2312"/>
          <w:b w:val="0"/>
          <w:bCs w:val="0"/>
          <w:kern w:val="0"/>
          <w:sz w:val="36"/>
          <w:szCs w:val="36"/>
          <w:highlight w:val="none"/>
          <w:lang w:val="en-US" w:eastAsia="zh-CN" w:bidi="ar-SA"/>
        </w:rPr>
      </w:pPr>
      <w:bookmarkStart w:id="0" w:name="_Toc23725"/>
      <w:bookmarkStart w:id="1" w:name="_Toc27079"/>
      <w:bookmarkStart w:id="2" w:name="_Toc22497"/>
      <w:r>
        <w:rPr>
          <w:rFonts w:hint="eastAsia" w:ascii="仿宋_GB2312" w:hAnsi="仿宋_GB2312" w:eastAsia="仿宋_GB2312" w:cs="仿宋_GB2312"/>
          <w:b w:val="0"/>
          <w:bCs w:val="0"/>
          <w:kern w:val="0"/>
          <w:sz w:val="36"/>
          <w:szCs w:val="36"/>
          <w:highlight w:val="none"/>
          <w:lang w:val="en-US" w:eastAsia="zh-CN" w:bidi="ar-SA"/>
        </w:rPr>
        <w:t>靖远煤业集团刘化化工有限公司</w:t>
      </w:r>
      <w:bookmarkEnd w:id="0"/>
      <w:bookmarkEnd w:id="1"/>
      <w:bookmarkEnd w:id="2"/>
    </w:p>
    <w:p w14:paraId="58DB94B0">
      <w:pPr>
        <w:pageBreakBefore w:val="0"/>
        <w:widowControl/>
        <w:kinsoku w:val="0"/>
        <w:wordWrap/>
        <w:overflowPunct/>
        <w:topLinePunct w:val="0"/>
        <w:autoSpaceDE w:val="0"/>
        <w:autoSpaceDN w:val="0"/>
        <w:bidi w:val="0"/>
        <w:adjustRightInd w:val="0"/>
        <w:snapToGrid w:val="0"/>
        <w:spacing w:line="360" w:lineRule="auto"/>
        <w:jc w:val="center"/>
        <w:textAlignment w:val="baseline"/>
        <w:outlineLvl w:val="0"/>
        <w:rPr>
          <w:rFonts w:hint="eastAsia" w:ascii="仿宋_GB2312" w:hAnsi="仿宋_GB2312" w:eastAsia="仿宋_GB2312" w:cs="仿宋_GB2312"/>
          <w:b w:val="0"/>
          <w:bCs w:val="0"/>
          <w:kern w:val="0"/>
          <w:sz w:val="36"/>
          <w:szCs w:val="36"/>
          <w:highlight w:val="none"/>
          <w:lang w:val="en-US" w:eastAsia="zh-CN" w:bidi="ar-SA"/>
        </w:rPr>
      </w:pPr>
      <w:bookmarkStart w:id="3" w:name="_Toc11761"/>
      <w:bookmarkStart w:id="4" w:name="_Toc3539"/>
      <w:bookmarkStart w:id="5" w:name="_Toc12389"/>
      <w:bookmarkStart w:id="6" w:name="_Toc31809"/>
      <w:bookmarkStart w:id="7" w:name="_Toc15397"/>
      <w:r>
        <w:rPr>
          <w:rFonts w:hint="eastAsia" w:ascii="仿宋_GB2312" w:hAnsi="仿宋_GB2312" w:eastAsia="仿宋_GB2312" w:cs="仿宋_GB2312"/>
          <w:b w:val="0"/>
          <w:bCs w:val="0"/>
          <w:kern w:val="0"/>
          <w:sz w:val="36"/>
          <w:szCs w:val="36"/>
          <w:highlight w:val="none"/>
          <w:lang w:val="en-US" w:eastAsia="zh-CN" w:bidi="ar-SA"/>
        </w:rPr>
        <w:t>靖远煤电清洁高效气化气综合利用(搬迁改造)项目一期工程</w:t>
      </w:r>
    </w:p>
    <w:p w14:paraId="125F3E6C">
      <w:pPr>
        <w:pageBreakBefore w:val="0"/>
        <w:widowControl/>
        <w:kinsoku w:val="0"/>
        <w:wordWrap/>
        <w:overflowPunct/>
        <w:topLinePunct w:val="0"/>
        <w:autoSpaceDE w:val="0"/>
        <w:autoSpaceDN w:val="0"/>
        <w:bidi w:val="0"/>
        <w:adjustRightInd w:val="0"/>
        <w:snapToGrid w:val="0"/>
        <w:spacing w:line="360" w:lineRule="auto"/>
        <w:jc w:val="center"/>
        <w:textAlignment w:val="baseline"/>
        <w:outlineLvl w:val="0"/>
        <w:rPr>
          <w:rFonts w:hint="eastAsia" w:ascii="仿宋_GB2312" w:hAnsi="仿宋_GB2312" w:eastAsia="仿宋_GB2312" w:cs="仿宋_GB2312"/>
          <w:b w:val="0"/>
          <w:bCs w:val="0"/>
          <w:kern w:val="0"/>
          <w:sz w:val="36"/>
          <w:szCs w:val="36"/>
          <w:highlight w:val="none"/>
          <w:lang w:val="en-US" w:eastAsia="zh-CN" w:bidi="ar-SA"/>
        </w:rPr>
      </w:pPr>
      <w:r>
        <w:rPr>
          <w:rFonts w:hint="eastAsia" w:ascii="仿宋_GB2312" w:hAnsi="仿宋_GB2312" w:eastAsia="仿宋_GB2312" w:cs="仿宋_GB2312"/>
          <w:b w:val="0"/>
          <w:bCs w:val="0"/>
          <w:kern w:val="0"/>
          <w:sz w:val="36"/>
          <w:szCs w:val="36"/>
          <w:highlight w:val="none"/>
          <w:lang w:val="en-US" w:eastAsia="zh-CN" w:bidi="ar-SA"/>
        </w:rPr>
        <w:t>竣工环境保护验收技术服务合同</w:t>
      </w:r>
      <w:bookmarkEnd w:id="3"/>
      <w:bookmarkEnd w:id="4"/>
      <w:bookmarkEnd w:id="5"/>
      <w:bookmarkEnd w:id="6"/>
      <w:bookmarkEnd w:id="7"/>
    </w:p>
    <w:p w14:paraId="109DE1C2">
      <w:pPr>
        <w:pStyle w:val="10"/>
        <w:ind w:left="0" w:leftChars="0" w:firstLine="0" w:firstLineChars="0"/>
        <w:jc w:val="both"/>
        <w:rPr>
          <w:rFonts w:hint="eastAsia" w:ascii="方正公文小标宋" w:hAnsi="方正公文小标宋" w:eastAsia="方正公文小标宋" w:cs="方正公文小标宋"/>
          <w:snapToGrid w:val="0"/>
          <w:color w:val="auto"/>
          <w:sz w:val="28"/>
          <w:szCs w:val="28"/>
          <w:highlight w:val="none"/>
          <w:lang w:val="en-US" w:eastAsia="zh-CN" w:bidi="ar-SA"/>
        </w:rPr>
      </w:pPr>
    </w:p>
    <w:p w14:paraId="0476495D">
      <w:pPr>
        <w:pStyle w:val="3"/>
        <w:jc w:val="both"/>
        <w:rPr>
          <w:rFonts w:hint="eastAsia" w:ascii="方正公文小标宋" w:hAnsi="方正公文小标宋" w:eastAsia="方正公文小标宋" w:cs="方正公文小标宋"/>
          <w:b/>
          <w:bCs/>
          <w:color w:val="auto"/>
          <w:spacing w:val="-20"/>
          <w:kern w:val="2"/>
          <w:sz w:val="28"/>
          <w:szCs w:val="28"/>
          <w:highlight w:val="none"/>
        </w:rPr>
      </w:pPr>
    </w:p>
    <w:p w14:paraId="1DEFD759">
      <w:pPr>
        <w:rPr>
          <w:rFonts w:hint="eastAsia" w:ascii="方正公文小标宋" w:hAnsi="方正公文小标宋" w:eastAsia="方正公文小标宋" w:cs="方正公文小标宋"/>
          <w:b/>
          <w:bCs/>
          <w:color w:val="auto"/>
          <w:spacing w:val="-20"/>
          <w:kern w:val="2"/>
          <w:sz w:val="28"/>
          <w:szCs w:val="28"/>
          <w:highlight w:val="none"/>
        </w:rPr>
      </w:pPr>
    </w:p>
    <w:p w14:paraId="09FF3509">
      <w:pPr>
        <w:pStyle w:val="7"/>
        <w:rPr>
          <w:rFonts w:hint="eastAsia" w:ascii="方正公文小标宋" w:hAnsi="方正公文小标宋" w:eastAsia="方正公文小标宋" w:cs="方正公文小标宋"/>
          <w:b/>
          <w:bCs/>
          <w:color w:val="auto"/>
          <w:spacing w:val="-20"/>
          <w:kern w:val="2"/>
          <w:sz w:val="28"/>
          <w:szCs w:val="28"/>
          <w:highlight w:val="none"/>
        </w:rPr>
      </w:pPr>
    </w:p>
    <w:p w14:paraId="6A84F8E4">
      <w:pPr>
        <w:pStyle w:val="7"/>
        <w:rPr>
          <w:rFonts w:hint="eastAsia" w:ascii="方正公文小标宋" w:hAnsi="方正公文小标宋" w:eastAsia="方正公文小标宋" w:cs="方正公文小标宋"/>
          <w:b/>
          <w:bCs/>
          <w:color w:val="auto"/>
          <w:spacing w:val="-20"/>
          <w:kern w:val="2"/>
          <w:sz w:val="28"/>
          <w:szCs w:val="28"/>
          <w:highlight w:val="none"/>
        </w:rPr>
      </w:pPr>
    </w:p>
    <w:p w14:paraId="4B35E783">
      <w:pPr>
        <w:pStyle w:val="7"/>
        <w:rPr>
          <w:rFonts w:hint="eastAsia" w:ascii="方正公文小标宋" w:hAnsi="方正公文小标宋" w:eastAsia="方正公文小标宋" w:cs="方正公文小标宋"/>
          <w:b/>
          <w:bCs/>
          <w:color w:val="auto"/>
          <w:spacing w:val="-20"/>
          <w:kern w:val="2"/>
          <w:sz w:val="28"/>
          <w:szCs w:val="28"/>
          <w:highlight w:val="none"/>
        </w:rPr>
      </w:pPr>
    </w:p>
    <w:p w14:paraId="5CC75CE0">
      <w:pPr>
        <w:pStyle w:val="3"/>
        <w:jc w:val="both"/>
        <w:rPr>
          <w:rFonts w:hint="eastAsia" w:ascii="方正公文小标宋" w:hAnsi="方正公文小标宋" w:eastAsia="方正公文小标宋" w:cs="方正公文小标宋"/>
          <w:b/>
          <w:bCs/>
          <w:color w:val="auto"/>
          <w:spacing w:val="-20"/>
          <w:kern w:val="2"/>
          <w:sz w:val="28"/>
          <w:szCs w:val="28"/>
          <w:highlight w:val="none"/>
        </w:rPr>
      </w:pPr>
    </w:p>
    <w:p w14:paraId="62B58F8F">
      <w:pPr>
        <w:pStyle w:val="3"/>
        <w:jc w:val="both"/>
        <w:rPr>
          <w:rFonts w:hint="eastAsia" w:ascii="方正公文小标宋" w:hAnsi="方正公文小标宋" w:eastAsia="方正公文小标宋" w:cs="方正公文小标宋"/>
          <w:b/>
          <w:bCs/>
          <w:color w:val="auto"/>
          <w:spacing w:val="-20"/>
          <w:kern w:val="2"/>
          <w:sz w:val="28"/>
          <w:szCs w:val="28"/>
          <w:highlight w:val="none"/>
        </w:rPr>
      </w:pPr>
    </w:p>
    <w:p w14:paraId="4C5C7745">
      <w:pPr>
        <w:pStyle w:val="6"/>
        <w:ind w:left="0" w:leftChars="0" w:firstLine="0" w:firstLineChars="0"/>
        <w:rPr>
          <w:rFonts w:hint="eastAsia" w:ascii="方正公文小标宋" w:hAnsi="方正公文小标宋" w:eastAsia="方正公文小标宋" w:cs="方正公文小标宋"/>
          <w:b/>
          <w:bCs/>
          <w:color w:val="auto"/>
          <w:spacing w:val="-20"/>
          <w:kern w:val="2"/>
          <w:sz w:val="28"/>
          <w:szCs w:val="28"/>
          <w:highlight w:val="none"/>
        </w:rPr>
      </w:pPr>
    </w:p>
    <w:p w14:paraId="38DE2499">
      <w:pPr>
        <w:pStyle w:val="6"/>
        <w:rPr>
          <w:rFonts w:hint="eastAsia" w:ascii="方正公文小标宋" w:hAnsi="方正公文小标宋" w:eastAsia="方正公文小标宋" w:cs="方正公文小标宋"/>
          <w:b/>
          <w:bCs/>
          <w:color w:val="auto"/>
          <w:spacing w:val="-20"/>
          <w:kern w:val="2"/>
          <w:sz w:val="28"/>
          <w:szCs w:val="28"/>
          <w:highlight w:val="none"/>
        </w:rPr>
      </w:pPr>
    </w:p>
    <w:p w14:paraId="6C197ED5">
      <w:pPr>
        <w:keepNext w:val="0"/>
        <w:keepLines w:val="0"/>
        <w:pageBreakBefore w:val="0"/>
        <w:widowControl/>
        <w:kinsoku w:val="0"/>
        <w:wordWrap/>
        <w:overflowPunct/>
        <w:topLinePunct w:val="0"/>
        <w:autoSpaceDE w:val="0"/>
        <w:autoSpaceDN w:val="0"/>
        <w:bidi w:val="0"/>
        <w:adjustRightInd w:val="0"/>
        <w:snapToGrid w:val="0"/>
        <w:spacing w:before="81" w:line="222" w:lineRule="auto"/>
        <w:ind w:firstLine="1600" w:firstLineChars="500"/>
        <w:jc w:val="both"/>
        <w:textAlignment w:val="baseline"/>
        <w:rPr>
          <w:rFonts w:hint="eastAsia" w:ascii="仿宋_GB2312" w:hAnsi="仿宋_GB2312" w:eastAsia="仿宋_GB2312" w:cs="仿宋_GB2312"/>
          <w:sz w:val="32"/>
          <w:szCs w:val="32"/>
          <w:highlight w:val="none"/>
          <w:u w:val="none" w:color="auto"/>
          <w:shd w:val="clear" w:color="auto" w:fill="FFFFFF"/>
        </w:rPr>
      </w:pPr>
      <w:bookmarkStart w:id="8" w:name="_Toc16327"/>
      <w:bookmarkStart w:id="9" w:name="_Toc16363"/>
      <w:bookmarkStart w:id="10" w:name="_Toc30253"/>
      <w:bookmarkStart w:id="11" w:name="_Toc29125"/>
      <w:r>
        <w:rPr>
          <w:rFonts w:hint="eastAsia" w:ascii="仿宋_GB2312" w:hAnsi="仿宋_GB2312" w:eastAsia="仿宋_GB2312" w:cs="仿宋_GB2312"/>
          <w:sz w:val="32"/>
          <w:szCs w:val="32"/>
          <w:highlight w:val="none"/>
        </w:rPr>
        <w:t>委托方(甲方):</w:t>
      </w:r>
      <w:r>
        <w:rPr>
          <w:rFonts w:hint="eastAsia" w:ascii="仿宋_GB2312" w:hAnsi="仿宋_GB2312" w:eastAsia="仿宋_GB2312" w:cs="仿宋_GB2312"/>
          <w:sz w:val="32"/>
          <w:szCs w:val="32"/>
          <w:highlight w:val="none"/>
          <w:u w:val="none" w:color="auto"/>
          <w:shd w:val="clear" w:color="auto" w:fill="FFFFFF"/>
        </w:rPr>
        <w:t>靖远煤业集团刘化化工有限公司</w:t>
      </w:r>
    </w:p>
    <w:p w14:paraId="1AE5280E">
      <w:pPr>
        <w:keepNext w:val="0"/>
        <w:keepLines w:val="0"/>
        <w:pageBreakBefore w:val="0"/>
        <w:widowControl/>
        <w:kinsoku w:val="0"/>
        <w:wordWrap/>
        <w:overflowPunct/>
        <w:topLinePunct w:val="0"/>
        <w:autoSpaceDE w:val="0"/>
        <w:autoSpaceDN w:val="0"/>
        <w:bidi w:val="0"/>
        <w:adjustRightInd w:val="0"/>
        <w:snapToGrid w:val="0"/>
        <w:spacing w:before="81" w:line="222" w:lineRule="auto"/>
        <w:ind w:firstLine="1920" w:firstLineChars="600"/>
        <w:jc w:val="both"/>
        <w:textAlignment w:val="baseline"/>
        <w:rPr>
          <w:rFonts w:hint="eastAsia" w:ascii="仿宋_GB2312" w:hAnsi="仿宋_GB2312" w:eastAsia="仿宋_GB2312" w:cs="仿宋_GB2312"/>
          <w:sz w:val="32"/>
          <w:szCs w:val="32"/>
          <w:highlight w:val="none"/>
          <w:u w:val="none" w:color="auto"/>
          <w:shd w:val="clear" w:color="auto" w:fill="FFFFFF"/>
        </w:rPr>
      </w:pPr>
    </w:p>
    <w:p w14:paraId="0CD951FE">
      <w:pPr>
        <w:spacing w:line="460" w:lineRule="exact"/>
        <w:ind w:firstLine="1620" w:firstLineChars="500"/>
        <w:jc w:val="left"/>
        <w:rPr>
          <w:rFonts w:hint="eastAsia" w:ascii="仿宋_GB2312" w:hAnsi="仿宋_GB2312" w:eastAsia="仿宋_GB2312" w:cs="仿宋_GB2312"/>
          <w:sz w:val="32"/>
          <w:szCs w:val="32"/>
          <w:highlight w:val="none"/>
          <w:u w:val="none" w:color="auto"/>
          <w:shd w:val="clear" w:color="auto" w:fill="FFFFFF"/>
          <w:lang w:eastAsia="zh-CN"/>
        </w:rPr>
      </w:pPr>
      <w:r>
        <w:rPr>
          <w:rFonts w:hint="eastAsia" w:ascii="仿宋_GB2312" w:hAnsi="仿宋_GB2312" w:eastAsia="仿宋_GB2312" w:cs="仿宋_GB2312"/>
          <w:spacing w:val="2"/>
          <w:sz w:val="32"/>
          <w:szCs w:val="32"/>
          <w:highlight w:val="none"/>
        </w:rPr>
        <w:t>受托方(乙方):</w:t>
      </w:r>
      <w:r>
        <w:rPr>
          <w:rFonts w:hint="eastAsia" w:ascii="仿宋_GB2312" w:hAnsi="仿宋_GB2312" w:eastAsia="仿宋_GB2312" w:cs="仿宋_GB2312"/>
          <w:sz w:val="32"/>
          <w:szCs w:val="32"/>
          <w:highlight w:val="none"/>
          <w:u w:val="none" w:color="auto"/>
          <w:shd w:val="clear" w:color="auto" w:fill="FFFFFF"/>
          <w:lang w:val="en-US" w:eastAsia="zh-CN"/>
        </w:rPr>
        <w:t xml:space="preserve"> </w:t>
      </w:r>
    </w:p>
    <w:p w14:paraId="17995870">
      <w:pPr>
        <w:rPr>
          <w:rFonts w:hint="eastAsia"/>
          <w:lang w:eastAsia="zh-CN"/>
        </w:rPr>
      </w:pPr>
    </w:p>
    <w:p w14:paraId="2D3D9E05">
      <w:pPr>
        <w:keepNext w:val="0"/>
        <w:keepLines w:val="0"/>
        <w:pageBreakBefore w:val="0"/>
        <w:widowControl/>
        <w:kinsoku w:val="0"/>
        <w:wordWrap/>
        <w:overflowPunct/>
        <w:topLinePunct w:val="0"/>
        <w:autoSpaceDE w:val="0"/>
        <w:autoSpaceDN w:val="0"/>
        <w:bidi w:val="0"/>
        <w:adjustRightInd w:val="0"/>
        <w:snapToGrid w:val="0"/>
        <w:spacing w:before="82" w:line="222" w:lineRule="auto"/>
        <w:ind w:firstLine="1644" w:firstLineChars="600"/>
        <w:jc w:val="both"/>
        <w:textAlignment w:val="baseline"/>
        <w:rPr>
          <w:rFonts w:hint="eastAsia" w:ascii="仿宋_GB2312" w:hAnsi="仿宋_GB2312" w:eastAsia="仿宋_GB2312" w:cs="仿宋_GB2312"/>
          <w:spacing w:val="-23"/>
          <w:sz w:val="32"/>
          <w:szCs w:val="32"/>
          <w:highlight w:val="none"/>
        </w:rPr>
      </w:pPr>
      <w:r>
        <w:rPr>
          <w:rFonts w:hint="eastAsia" w:ascii="仿宋_GB2312" w:hAnsi="仿宋_GB2312" w:eastAsia="仿宋_GB2312" w:cs="仿宋_GB2312"/>
          <w:spacing w:val="-23"/>
          <w:sz w:val="32"/>
          <w:szCs w:val="32"/>
          <w:highlight w:val="none"/>
        </w:rPr>
        <w:t>日</w:t>
      </w:r>
      <w:r>
        <w:rPr>
          <w:rFonts w:hint="eastAsia" w:ascii="仿宋_GB2312" w:hAnsi="仿宋_GB2312" w:eastAsia="仿宋_GB2312" w:cs="仿宋_GB2312"/>
          <w:spacing w:val="3"/>
          <w:sz w:val="32"/>
          <w:szCs w:val="32"/>
          <w:highlight w:val="none"/>
        </w:rPr>
        <w:t xml:space="preserve">     </w:t>
      </w:r>
      <w:r>
        <w:rPr>
          <w:rFonts w:hint="eastAsia" w:ascii="仿宋_GB2312" w:hAnsi="仿宋_GB2312" w:eastAsia="仿宋_GB2312" w:cs="仿宋_GB2312"/>
          <w:spacing w:val="3"/>
          <w:sz w:val="32"/>
          <w:szCs w:val="32"/>
          <w:highlight w:val="none"/>
          <w:lang w:val="en-US" w:eastAsia="zh-CN"/>
        </w:rPr>
        <w:t xml:space="preserve">   </w:t>
      </w:r>
      <w:r>
        <w:rPr>
          <w:rFonts w:hint="eastAsia" w:ascii="仿宋_GB2312" w:hAnsi="仿宋_GB2312" w:eastAsia="仿宋_GB2312" w:cs="仿宋_GB2312"/>
          <w:spacing w:val="-23"/>
          <w:sz w:val="32"/>
          <w:szCs w:val="32"/>
          <w:highlight w:val="none"/>
        </w:rPr>
        <w:t>期：</w:t>
      </w:r>
    </w:p>
    <w:p w14:paraId="78F6F4F0">
      <w:pPr>
        <w:keepNext w:val="0"/>
        <w:keepLines w:val="0"/>
        <w:pageBreakBefore w:val="0"/>
        <w:widowControl/>
        <w:kinsoku w:val="0"/>
        <w:wordWrap/>
        <w:overflowPunct/>
        <w:topLinePunct w:val="0"/>
        <w:autoSpaceDE w:val="0"/>
        <w:autoSpaceDN w:val="0"/>
        <w:bidi w:val="0"/>
        <w:adjustRightInd w:val="0"/>
        <w:snapToGrid w:val="0"/>
        <w:spacing w:before="82" w:line="222" w:lineRule="auto"/>
        <w:ind w:firstLine="1644" w:firstLineChars="600"/>
        <w:jc w:val="both"/>
        <w:textAlignment w:val="baseline"/>
        <w:rPr>
          <w:rFonts w:hint="eastAsia" w:ascii="仿宋_GB2312" w:hAnsi="仿宋_GB2312" w:eastAsia="仿宋_GB2312" w:cs="仿宋_GB2312"/>
          <w:spacing w:val="-23"/>
          <w:sz w:val="32"/>
          <w:szCs w:val="32"/>
          <w:highlight w:val="none"/>
        </w:rPr>
      </w:pPr>
    </w:p>
    <w:p w14:paraId="20422801">
      <w:pPr>
        <w:keepNext w:val="0"/>
        <w:keepLines w:val="0"/>
        <w:pageBreakBefore w:val="0"/>
        <w:widowControl/>
        <w:kinsoku w:val="0"/>
        <w:wordWrap/>
        <w:overflowPunct/>
        <w:topLinePunct w:val="0"/>
        <w:autoSpaceDE w:val="0"/>
        <w:autoSpaceDN w:val="0"/>
        <w:bidi w:val="0"/>
        <w:adjustRightInd w:val="0"/>
        <w:snapToGrid w:val="0"/>
        <w:spacing w:before="82" w:line="360" w:lineRule="auto"/>
        <w:ind w:firstLine="1596" w:firstLineChars="600"/>
        <w:jc w:val="both"/>
        <w:textAlignment w:val="baseline"/>
        <w:rPr>
          <w:rFonts w:hint="eastAsia" w:ascii="宋体" w:hAnsi="宋体" w:cs="宋体"/>
          <w:b/>
          <w:snapToGrid w:val="0"/>
          <w:color w:val="000000"/>
          <w:spacing w:val="60"/>
          <w:kern w:val="0"/>
          <w:sz w:val="44"/>
          <w:szCs w:val="44"/>
          <w:highlight w:val="none"/>
          <w:lang w:eastAsia="zh-CN"/>
        </w:rPr>
      </w:pPr>
      <w:r>
        <w:rPr>
          <w:rFonts w:hint="eastAsia" w:ascii="仿宋_GB2312" w:hAnsi="仿宋_GB2312" w:eastAsia="仿宋_GB2312" w:cs="仿宋_GB2312"/>
          <w:spacing w:val="-27"/>
          <w:sz w:val="32"/>
          <w:szCs w:val="32"/>
          <w:highlight w:val="none"/>
        </w:rPr>
        <w:t>合</w:t>
      </w:r>
      <w:r>
        <w:rPr>
          <w:rFonts w:hint="eastAsia" w:ascii="仿宋_GB2312" w:hAnsi="仿宋_GB2312" w:eastAsia="仿宋_GB2312" w:cs="仿宋_GB2312"/>
          <w:spacing w:val="-27"/>
          <w:sz w:val="32"/>
          <w:szCs w:val="32"/>
          <w:highlight w:val="none"/>
          <w:lang w:val="en-US" w:eastAsia="zh-CN"/>
        </w:rPr>
        <w:t xml:space="preserve"> </w:t>
      </w:r>
      <w:r>
        <w:rPr>
          <w:rFonts w:hint="eastAsia" w:ascii="仿宋_GB2312" w:hAnsi="仿宋_GB2312" w:eastAsia="仿宋_GB2312" w:cs="仿宋_GB2312"/>
          <w:spacing w:val="-27"/>
          <w:sz w:val="32"/>
          <w:szCs w:val="32"/>
          <w:highlight w:val="none"/>
        </w:rPr>
        <w:t>同</w:t>
      </w:r>
      <w:r>
        <w:rPr>
          <w:rFonts w:hint="eastAsia" w:ascii="仿宋_GB2312" w:hAnsi="仿宋_GB2312" w:eastAsia="仿宋_GB2312" w:cs="仿宋_GB2312"/>
          <w:spacing w:val="-27"/>
          <w:sz w:val="32"/>
          <w:szCs w:val="32"/>
          <w:highlight w:val="none"/>
          <w:lang w:val="en-US" w:eastAsia="zh-CN"/>
        </w:rPr>
        <w:t xml:space="preserve"> </w:t>
      </w:r>
      <w:r>
        <w:rPr>
          <w:rFonts w:hint="eastAsia" w:ascii="仿宋_GB2312" w:hAnsi="仿宋_GB2312" w:eastAsia="仿宋_GB2312" w:cs="仿宋_GB2312"/>
          <w:spacing w:val="-27"/>
          <w:sz w:val="32"/>
          <w:szCs w:val="32"/>
          <w:highlight w:val="none"/>
        </w:rPr>
        <w:t>签</w:t>
      </w:r>
      <w:r>
        <w:rPr>
          <w:rFonts w:hint="eastAsia" w:ascii="仿宋_GB2312" w:hAnsi="仿宋_GB2312" w:eastAsia="仿宋_GB2312" w:cs="仿宋_GB2312"/>
          <w:spacing w:val="-27"/>
          <w:sz w:val="32"/>
          <w:szCs w:val="32"/>
          <w:highlight w:val="none"/>
          <w:lang w:val="en-US" w:eastAsia="zh-CN"/>
        </w:rPr>
        <w:t xml:space="preserve"> </w:t>
      </w:r>
      <w:r>
        <w:rPr>
          <w:rFonts w:hint="eastAsia" w:ascii="仿宋_GB2312" w:hAnsi="仿宋_GB2312" w:eastAsia="仿宋_GB2312" w:cs="仿宋_GB2312"/>
          <w:spacing w:val="-27"/>
          <w:sz w:val="32"/>
          <w:szCs w:val="32"/>
          <w:highlight w:val="none"/>
        </w:rPr>
        <w:t>订</w:t>
      </w:r>
      <w:r>
        <w:rPr>
          <w:rFonts w:hint="eastAsia" w:ascii="仿宋_GB2312" w:hAnsi="仿宋_GB2312" w:eastAsia="仿宋_GB2312" w:cs="仿宋_GB2312"/>
          <w:spacing w:val="-27"/>
          <w:sz w:val="32"/>
          <w:szCs w:val="32"/>
          <w:highlight w:val="none"/>
          <w:lang w:val="en-US" w:eastAsia="zh-CN"/>
        </w:rPr>
        <w:t xml:space="preserve"> </w:t>
      </w:r>
      <w:r>
        <w:rPr>
          <w:rFonts w:hint="eastAsia" w:ascii="仿宋_GB2312" w:hAnsi="仿宋_GB2312" w:eastAsia="仿宋_GB2312" w:cs="仿宋_GB2312"/>
          <w:spacing w:val="-27"/>
          <w:sz w:val="32"/>
          <w:szCs w:val="32"/>
          <w:highlight w:val="none"/>
        </w:rPr>
        <w:t>地</w:t>
      </w:r>
      <w:r>
        <w:rPr>
          <w:rFonts w:hint="eastAsia" w:ascii="仿宋_GB2312" w:hAnsi="仿宋_GB2312" w:eastAsia="仿宋_GB2312" w:cs="仿宋_GB2312"/>
          <w:spacing w:val="53"/>
          <w:sz w:val="32"/>
          <w:szCs w:val="32"/>
          <w:highlight w:val="none"/>
        </w:rPr>
        <w:t xml:space="preserve"> </w:t>
      </w:r>
      <w:r>
        <w:rPr>
          <w:rFonts w:hint="eastAsia" w:ascii="仿宋_GB2312" w:hAnsi="仿宋_GB2312" w:eastAsia="仿宋_GB2312" w:cs="仿宋_GB2312"/>
          <w:spacing w:val="-27"/>
          <w:sz w:val="32"/>
          <w:szCs w:val="32"/>
          <w:highlight w:val="none"/>
        </w:rPr>
        <w:t>：</w:t>
      </w:r>
      <w:r>
        <w:rPr>
          <w:rFonts w:hint="eastAsia" w:ascii="仿宋_GB2312" w:hAnsi="仿宋_GB2312" w:eastAsia="仿宋_GB2312" w:cs="仿宋_GB2312"/>
          <w:spacing w:val="2"/>
          <w:sz w:val="32"/>
          <w:szCs w:val="32"/>
          <w:highlight w:val="none"/>
          <w:lang w:val="en-US" w:eastAsia="zh-CN"/>
        </w:rPr>
        <w:t>甘肃省白银市白银区</w:t>
      </w:r>
    </w:p>
    <w:bookmarkEnd w:id="8"/>
    <w:bookmarkEnd w:id="9"/>
    <w:bookmarkEnd w:id="10"/>
    <w:bookmarkEnd w:id="11"/>
    <w:p w14:paraId="11A75DD1">
      <w:pPr>
        <w:pStyle w:val="3"/>
        <w:spacing w:line="360" w:lineRule="auto"/>
        <w:jc w:val="both"/>
        <w:rPr>
          <w:rFonts w:hint="eastAsia" w:ascii="仿宋" w:hAnsi="仿宋" w:eastAsia="仿宋" w:cs="仿宋"/>
          <w:color w:val="auto"/>
          <w:highlight w:val="none"/>
        </w:rPr>
      </w:pPr>
    </w:p>
    <w:p w14:paraId="1C3B07C5">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p>
    <w:p w14:paraId="3FE2CBA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rPr>
        <w:t>本合同签约双方就本合同书中所描述的</w:t>
      </w:r>
      <w:r>
        <w:rPr>
          <w:rFonts w:hint="eastAsia" w:ascii="仿宋_GB2312" w:hAnsi="仿宋_GB2312" w:eastAsia="仿宋_GB2312" w:cs="仿宋_GB2312"/>
          <w:color w:val="auto"/>
          <w:sz w:val="28"/>
          <w:szCs w:val="28"/>
          <w:lang w:val="en-US" w:eastAsia="zh-CN"/>
        </w:rPr>
        <w:t>靖远煤电清洁高效气化气综合利用(搬迁改造)项目一期工程竣工</w:t>
      </w:r>
      <w:r>
        <w:rPr>
          <w:rFonts w:hint="eastAsia" w:ascii="仿宋_GB2312" w:hAnsi="仿宋_GB2312" w:eastAsia="仿宋_GB2312" w:cs="仿宋_GB2312"/>
          <w:color w:val="auto"/>
          <w:sz w:val="28"/>
          <w:szCs w:val="28"/>
        </w:rPr>
        <w:t>环境保护验收内容、工作条件要求、费用支付、违约责任以及与之相关的技术和法律问题，在真实、充分地表达各自意愿的基础上，依据《中华人民共和国</w:t>
      </w:r>
      <w:r>
        <w:rPr>
          <w:rFonts w:hint="eastAsia" w:ascii="仿宋_GB2312" w:hAnsi="仿宋_GB2312" w:eastAsia="仿宋_GB2312" w:cs="仿宋_GB2312"/>
          <w:color w:val="auto"/>
          <w:sz w:val="28"/>
          <w:szCs w:val="28"/>
          <w:lang w:eastAsia="zh-CN"/>
        </w:rPr>
        <w:t>民法典</w:t>
      </w:r>
      <w:r>
        <w:rPr>
          <w:rFonts w:hint="eastAsia" w:ascii="仿宋_GB2312" w:hAnsi="仿宋_GB2312" w:eastAsia="仿宋_GB2312" w:cs="仿宋_GB2312"/>
          <w:color w:val="auto"/>
          <w:sz w:val="28"/>
          <w:szCs w:val="28"/>
        </w:rPr>
        <w:t>》、国家有关</w:t>
      </w:r>
      <w:r>
        <w:rPr>
          <w:rFonts w:hint="eastAsia" w:ascii="仿宋_GB2312" w:hAnsi="仿宋_GB2312" w:eastAsia="仿宋_GB2312" w:cs="仿宋_GB2312"/>
          <w:bCs/>
          <w:color w:val="auto"/>
          <w:sz w:val="28"/>
          <w:szCs w:val="28"/>
          <w:highlight w:val="none"/>
        </w:rPr>
        <w:t>建设项目竣工环境保护验收</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检测</w:t>
      </w:r>
      <w:r>
        <w:rPr>
          <w:rFonts w:hint="eastAsia" w:ascii="仿宋_GB2312" w:hAnsi="仿宋_GB2312" w:eastAsia="仿宋_GB2312" w:cs="仿宋_GB2312"/>
          <w:color w:val="auto"/>
          <w:sz w:val="28"/>
          <w:szCs w:val="28"/>
        </w:rPr>
        <w:t>技术规范的规定，经协商一致，签订本合同</w:t>
      </w:r>
      <w:r>
        <w:rPr>
          <w:rFonts w:hint="eastAsia" w:ascii="仿宋_GB2312" w:hAnsi="仿宋_GB2312" w:eastAsia="仿宋_GB2312" w:cs="仿宋_GB2312"/>
          <w:color w:val="auto"/>
          <w:sz w:val="28"/>
          <w:szCs w:val="28"/>
          <w:highlight w:val="none"/>
          <w:lang w:eastAsia="zh-CN"/>
        </w:rPr>
        <w:t>，由双方共同遵守履行。</w:t>
      </w:r>
    </w:p>
    <w:p w14:paraId="2A4D9649">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一、项目概况</w:t>
      </w:r>
    </w:p>
    <w:p w14:paraId="3326F15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highlight w:val="none"/>
          <w:lang w:val="en-US" w:eastAsia="zh-CN"/>
        </w:rPr>
        <w:t>1.1 项目名称：</w:t>
      </w:r>
      <w:r>
        <w:rPr>
          <w:rFonts w:hint="eastAsia" w:ascii="仿宋_GB2312" w:hAnsi="仿宋_GB2312" w:eastAsia="仿宋_GB2312" w:cs="仿宋_GB2312"/>
          <w:color w:val="auto"/>
          <w:sz w:val="28"/>
          <w:szCs w:val="28"/>
          <w:lang w:val="en-US" w:eastAsia="zh-CN"/>
        </w:rPr>
        <w:t>靖远煤电清洁高效气化气综合利用(搬迁改造)项目一期工程竣工</w:t>
      </w:r>
      <w:r>
        <w:rPr>
          <w:rFonts w:hint="eastAsia" w:ascii="仿宋_GB2312" w:hAnsi="仿宋_GB2312" w:eastAsia="仿宋_GB2312" w:cs="仿宋_GB2312"/>
          <w:color w:val="auto"/>
          <w:sz w:val="28"/>
          <w:szCs w:val="28"/>
        </w:rPr>
        <w:t>环境保护验收</w:t>
      </w:r>
      <w:r>
        <w:rPr>
          <w:rFonts w:hint="eastAsia" w:ascii="仿宋_GB2312" w:hAnsi="仿宋_GB2312" w:eastAsia="仿宋_GB2312" w:cs="仿宋_GB2312"/>
          <w:color w:val="auto"/>
          <w:sz w:val="28"/>
          <w:szCs w:val="28"/>
          <w:lang w:eastAsia="zh-CN"/>
        </w:rPr>
        <w:t>。</w:t>
      </w:r>
    </w:p>
    <w:p w14:paraId="72434C8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1.2 项目地点：甘肃省白银市白银区王岘镇东星村苏家墩201号</w:t>
      </w:r>
    </w:p>
    <w:p w14:paraId="528F66F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1.3 服务内容：乙方受甲方委托，承担靖远煤业集团刘化化工有限公司靖远煤电清洁高效气化气综合利用(搬迁改造)项目一期工程竣工</w:t>
      </w:r>
      <w:r>
        <w:rPr>
          <w:rFonts w:hint="eastAsia" w:ascii="仿宋_GB2312" w:hAnsi="仿宋_GB2312" w:eastAsia="仿宋_GB2312" w:cs="仿宋_GB2312"/>
          <w:color w:val="auto"/>
          <w:sz w:val="28"/>
          <w:szCs w:val="28"/>
        </w:rPr>
        <w:t>环境保护验收</w:t>
      </w:r>
      <w:r>
        <w:rPr>
          <w:rFonts w:hint="eastAsia" w:ascii="仿宋_GB2312" w:hAnsi="仿宋_GB2312" w:eastAsia="仿宋_GB2312" w:cs="仿宋_GB2312"/>
          <w:color w:val="auto"/>
          <w:sz w:val="28"/>
          <w:szCs w:val="28"/>
          <w:lang w:val="en-US" w:eastAsia="zh-CN"/>
        </w:rPr>
        <w:t>。</w:t>
      </w:r>
    </w:p>
    <w:p w14:paraId="5A1D24B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1.4 项目基本情况：</w:t>
      </w:r>
    </w:p>
    <w:p w14:paraId="0517D38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1.4.1  靖远煤电清洁高效气化气综合利用(搬迁改造)项目一期工程形成年产能合成氨30万吨、尿素35万吨、甲醇10万吨、（CO+H2）2.16亿立方米、三聚氰胺6万吨、尿素硝铵溶液5万吨、液体二氧化碳5万吨，副产品为硫磺、液氧、液氮、液氩。</w:t>
      </w:r>
    </w:p>
    <w:p w14:paraId="5ABFD204">
      <w:pPr>
        <w:keepNext w:val="0"/>
        <w:keepLines w:val="0"/>
        <w:pageBreakBefore w:val="0"/>
        <w:widowControl w:val="0"/>
        <w:kinsoku w:val="0"/>
        <w:wordWrap w:val="0"/>
        <w:overflowPunct/>
        <w:topLinePunct/>
        <w:autoSpaceDE/>
        <w:autoSpaceDN/>
        <w:bidi w:val="0"/>
        <w:adjustRightInd/>
        <w:snapToGrid/>
        <w:spacing w:line="360" w:lineRule="auto"/>
        <w:ind w:firstLine="560" w:firstLineChars="200"/>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1.4.2 目前已建成且处于试运行状态的装置主要为：变换、低温甲醇洗、液氮洗、硫回收、合成、甲醇、CO2、气化装置、尿素装置、空分装置、2台280t/h燃煤锅炉、污水处理、中水回用、零排放单元、脱盐水处理单元及附属公用工程、公用单元。已建成暂未开展试运行的装置：三聚氰胺、尿素硝铵溶液）、PSA制氢。</w:t>
      </w:r>
    </w:p>
    <w:p w14:paraId="44ECE6B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1.4.3 本合同项目竣工环境环保验收工作依据甲方现场生产装置运行实际情况分阶段开展，现阶段主要针对靖远煤电清洁高效气化气综合利用(搬迁改造)项目一期工程已建成且处于试运行状态的装置进行验收监测及验收调查并形成报告，待甲方三聚氰胺、尿素硝铵溶液、PSA制氢装置开展试运行程序，且相关条件成熟后，按照甲方要求对以上装置及其附属设备进行验收监测及验收调查并形成报告。</w:t>
      </w:r>
    </w:p>
    <w:p w14:paraId="6C9330D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1.4.4 本次项目竣工环境环保验收监测中地下水及土壤监测结果可引用甲方正在开展的土壤及地下水隐患排查原有监测数据，故乙方进行项目验收报价时，第一阶段土壤及地下水检测费用报价不考虑。</w:t>
      </w:r>
    </w:p>
    <w:p w14:paraId="217F9747">
      <w:pPr>
        <w:spacing w:line="560" w:lineRule="exact"/>
        <w:ind w:firstLine="562" w:firstLineChars="200"/>
        <w:jc w:val="left"/>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lang w:eastAsia="zh-CN"/>
        </w:rPr>
        <w:t>二、</w:t>
      </w:r>
      <w:r>
        <w:rPr>
          <w:rFonts w:hint="eastAsia" w:ascii="仿宋_GB2312" w:hAnsi="仿宋_GB2312" w:eastAsia="仿宋_GB2312" w:cs="仿宋_GB2312"/>
          <w:b/>
          <w:color w:val="auto"/>
          <w:sz w:val="28"/>
          <w:szCs w:val="28"/>
          <w:highlight w:val="none"/>
        </w:rPr>
        <w:t>项目实施依据</w:t>
      </w:r>
    </w:p>
    <w:p w14:paraId="7FABF685">
      <w:pPr>
        <w:spacing w:line="560" w:lineRule="exact"/>
        <w:ind w:firstLine="560" w:firstLineChars="200"/>
        <w:jc w:val="left"/>
        <w:rPr>
          <w:rFonts w:hint="eastAsia" w:ascii="宋体" w:hAnsi="宋体" w:cs="宋体"/>
          <w:bCs/>
          <w:color w:val="auto"/>
          <w:sz w:val="24"/>
          <w:szCs w:val="24"/>
          <w:highlight w:val="none"/>
        </w:rPr>
      </w:pPr>
      <w:r>
        <w:rPr>
          <w:rFonts w:hint="eastAsia" w:ascii="仿宋_GB2312" w:hAnsi="仿宋_GB2312" w:eastAsia="仿宋_GB2312" w:cs="仿宋_GB2312"/>
          <w:bCs/>
          <w:color w:val="auto"/>
          <w:sz w:val="28"/>
          <w:szCs w:val="28"/>
          <w:highlight w:val="none"/>
        </w:rPr>
        <w:t>按照《建设项目竣工环境保护验收暂行办法》（国环规环评[2017]4号）《建设项目竣工环境保护验收管理办法》（国家环境保护总局令第13号)(2002年2月1日起实施)及《建设项目环境保护管理条例》</w:t>
      </w:r>
      <w:r>
        <w:rPr>
          <w:rFonts w:hint="eastAsia" w:ascii="仿宋_GB2312" w:hAnsi="仿宋_GB2312" w:eastAsia="仿宋_GB2312" w:cs="仿宋_GB2312"/>
          <w:bCs/>
          <w:color w:val="auto"/>
          <w:sz w:val="28"/>
          <w:szCs w:val="28"/>
          <w:highlight w:val="none"/>
          <w:lang w:eastAsia="zh-CN"/>
        </w:rPr>
        <w:t>等相关</w:t>
      </w:r>
      <w:r>
        <w:rPr>
          <w:rFonts w:hint="eastAsia" w:ascii="仿宋_GB2312" w:hAnsi="仿宋_GB2312" w:eastAsia="仿宋_GB2312" w:cs="仿宋_GB2312"/>
          <w:bCs/>
          <w:color w:val="auto"/>
          <w:sz w:val="28"/>
          <w:szCs w:val="28"/>
          <w:highlight w:val="none"/>
        </w:rPr>
        <w:t>要求，为规范建设项目环境保护设施竣工验收的程序和标准，强化建设单位环境保护主体责任，建设单位应在建设项目竣工后编制相应的验收调查报告并在当地环保部门进行备案管理。现</w:t>
      </w:r>
      <w:r>
        <w:rPr>
          <w:rFonts w:hint="eastAsia" w:ascii="仿宋_GB2312" w:hAnsi="仿宋_GB2312" w:eastAsia="仿宋_GB2312" w:cs="仿宋_GB2312"/>
          <w:bCs/>
          <w:color w:val="auto"/>
          <w:sz w:val="28"/>
          <w:szCs w:val="28"/>
          <w:highlight w:val="none"/>
          <w:lang w:eastAsia="zh-CN"/>
        </w:rPr>
        <w:t>甲方</w:t>
      </w:r>
      <w:r>
        <w:rPr>
          <w:rFonts w:hint="eastAsia" w:ascii="仿宋_GB2312" w:hAnsi="仿宋_GB2312" w:eastAsia="仿宋_GB2312" w:cs="仿宋_GB2312"/>
          <w:bCs/>
          <w:color w:val="auto"/>
          <w:sz w:val="28"/>
          <w:szCs w:val="28"/>
          <w:highlight w:val="none"/>
        </w:rPr>
        <w:t>委托具有相关资质第三方单位</w:t>
      </w:r>
      <w:r>
        <w:rPr>
          <w:rFonts w:hint="eastAsia" w:ascii="仿宋_GB2312" w:hAnsi="仿宋_GB2312" w:eastAsia="仿宋_GB2312" w:cs="仿宋_GB2312"/>
          <w:bCs/>
          <w:color w:val="auto"/>
          <w:sz w:val="28"/>
          <w:szCs w:val="28"/>
          <w:highlight w:val="none"/>
          <w:lang w:eastAsia="zh-CN"/>
        </w:rPr>
        <w:t>分阶段</w:t>
      </w:r>
      <w:r>
        <w:rPr>
          <w:rFonts w:hint="eastAsia" w:ascii="仿宋_GB2312" w:hAnsi="仿宋_GB2312" w:eastAsia="仿宋_GB2312" w:cs="仿宋_GB2312"/>
          <w:bCs/>
          <w:color w:val="auto"/>
          <w:sz w:val="28"/>
          <w:szCs w:val="28"/>
          <w:highlight w:val="none"/>
        </w:rPr>
        <w:t>编制《</w:t>
      </w:r>
      <w:r>
        <w:rPr>
          <w:rFonts w:hint="eastAsia" w:ascii="仿宋_GB2312" w:hAnsi="仿宋_GB2312" w:eastAsia="仿宋_GB2312" w:cs="仿宋_GB2312"/>
          <w:color w:val="auto"/>
          <w:sz w:val="28"/>
          <w:szCs w:val="28"/>
          <w:lang w:val="en-US" w:eastAsia="zh-CN"/>
        </w:rPr>
        <w:t>靖远煤电清洁高效气化气综合利用(搬迁改造)项目一期工程</w:t>
      </w:r>
      <w:r>
        <w:rPr>
          <w:rFonts w:hint="eastAsia" w:ascii="仿宋_GB2312" w:hAnsi="仿宋_GB2312" w:eastAsia="仿宋_GB2312" w:cs="仿宋_GB2312"/>
          <w:bCs/>
          <w:color w:val="auto"/>
          <w:sz w:val="28"/>
          <w:szCs w:val="28"/>
          <w:highlight w:val="none"/>
        </w:rPr>
        <w:t>环保竣工验收调查报告》并</w:t>
      </w:r>
      <w:r>
        <w:rPr>
          <w:rFonts w:hint="eastAsia" w:ascii="仿宋_GB2312" w:hAnsi="仿宋_GB2312" w:eastAsia="仿宋_GB2312" w:cs="仿宋_GB2312"/>
          <w:bCs/>
          <w:color w:val="auto"/>
          <w:sz w:val="28"/>
          <w:szCs w:val="28"/>
          <w:highlight w:val="none"/>
          <w:lang w:eastAsia="zh-CN"/>
        </w:rPr>
        <w:t>在</w:t>
      </w:r>
      <w:r>
        <w:rPr>
          <w:rFonts w:hint="eastAsia" w:ascii="仿宋_GB2312" w:hAnsi="仿宋_GB2312" w:eastAsia="仿宋_GB2312" w:cs="仿宋_GB2312"/>
          <w:bCs/>
          <w:color w:val="auto"/>
          <w:sz w:val="28"/>
          <w:szCs w:val="28"/>
          <w:highlight w:val="none"/>
        </w:rPr>
        <w:t>相关行政主管部门进行备案</w:t>
      </w:r>
      <w:r>
        <w:rPr>
          <w:rFonts w:hint="eastAsia" w:ascii="宋体" w:hAnsi="宋体" w:cs="宋体"/>
          <w:bCs/>
          <w:color w:val="auto"/>
          <w:sz w:val="24"/>
          <w:szCs w:val="24"/>
          <w:highlight w:val="none"/>
        </w:rPr>
        <w:t>。</w:t>
      </w:r>
    </w:p>
    <w:p w14:paraId="53092504">
      <w:pPr>
        <w:keepNext w:val="0"/>
        <w:keepLines w:val="0"/>
        <w:pageBreakBefore w:val="0"/>
        <w:kinsoku/>
        <w:wordWrap/>
        <w:overflowPunct/>
        <w:topLinePunct w:val="0"/>
        <w:autoSpaceDE/>
        <w:autoSpaceDN/>
        <w:bidi w:val="0"/>
        <w:spacing w:line="360" w:lineRule="auto"/>
        <w:ind w:firstLine="562" w:firstLineChars="200"/>
        <w:jc w:val="left"/>
        <w:textAlignment w:val="auto"/>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三、技术要求</w:t>
      </w:r>
    </w:p>
    <w:p w14:paraId="4C78577E">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（一）报告编制要求</w:t>
      </w:r>
    </w:p>
    <w:p w14:paraId="6D975CBA">
      <w:pPr>
        <w:keepNext w:val="0"/>
        <w:keepLines w:val="0"/>
        <w:pageBreakBefore w:val="0"/>
        <w:widowControl/>
        <w:kinsoku/>
        <w:wordWrap/>
        <w:overflowPunct/>
        <w:topLinePunct w:val="0"/>
        <w:autoSpaceDE/>
        <w:autoSpaceDN/>
        <w:bidi w:val="0"/>
        <w:adjustRightInd w:val="0"/>
        <w:snapToGrid w:val="0"/>
        <w:spacing w:line="360" w:lineRule="auto"/>
        <w:ind w:firstLine="560" w:firstLineChars="200"/>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 乙方出具的</w:t>
      </w:r>
      <w:r>
        <w:rPr>
          <w:rFonts w:hint="default" w:ascii="仿宋_GB2312" w:hAnsi="仿宋_GB2312" w:eastAsia="仿宋_GB2312" w:cs="仿宋_GB2312"/>
          <w:color w:val="auto"/>
          <w:sz w:val="28"/>
          <w:szCs w:val="28"/>
          <w:highlight w:val="none"/>
          <w:lang w:val="en-US" w:eastAsia="zh-CN"/>
        </w:rPr>
        <w:t>检测</w:t>
      </w:r>
      <w:r>
        <w:rPr>
          <w:rFonts w:hint="eastAsia" w:ascii="仿宋_GB2312" w:hAnsi="仿宋_GB2312" w:eastAsia="仿宋_GB2312" w:cs="仿宋_GB2312"/>
          <w:color w:val="auto"/>
          <w:sz w:val="28"/>
          <w:szCs w:val="28"/>
          <w:highlight w:val="none"/>
          <w:lang w:val="en-US" w:eastAsia="zh-CN"/>
        </w:rPr>
        <w:t>报告必须具有</w:t>
      </w:r>
      <w:r>
        <w:rPr>
          <w:rFonts w:hint="default" w:ascii="仿宋_GB2312" w:hAnsi="仿宋_GB2312" w:eastAsia="仿宋_GB2312" w:cs="仿宋_GB2312"/>
          <w:color w:val="auto"/>
          <w:sz w:val="28"/>
          <w:szCs w:val="28"/>
          <w:highlight w:val="none"/>
          <w:lang w:val="en-US" w:eastAsia="zh-CN"/>
        </w:rPr>
        <w:t>（CMA）</w:t>
      </w:r>
      <w:r>
        <w:rPr>
          <w:rFonts w:hint="eastAsia" w:ascii="仿宋_GB2312" w:hAnsi="仿宋_GB2312" w:eastAsia="仿宋_GB2312" w:cs="仿宋_GB2312"/>
          <w:color w:val="auto"/>
          <w:sz w:val="28"/>
          <w:szCs w:val="28"/>
          <w:highlight w:val="none"/>
          <w:lang w:val="en-US" w:eastAsia="zh-CN"/>
        </w:rPr>
        <w:t>签章</w:t>
      </w:r>
      <w:r>
        <w:rPr>
          <w:rFonts w:hint="default" w:ascii="仿宋_GB2312" w:hAnsi="仿宋_GB2312" w:eastAsia="仿宋_GB2312" w:cs="仿宋_GB2312"/>
          <w:color w:val="auto"/>
          <w:sz w:val="28"/>
          <w:szCs w:val="28"/>
          <w:highlight w:val="none"/>
          <w:lang w:val="en-US" w:eastAsia="zh-CN"/>
        </w:rPr>
        <w:t>且</w:t>
      </w:r>
      <w:r>
        <w:rPr>
          <w:rFonts w:hint="eastAsia" w:ascii="仿宋_GB2312" w:hAnsi="仿宋_GB2312" w:eastAsia="仿宋_GB2312" w:cs="仿宋_GB2312"/>
          <w:color w:val="auto"/>
          <w:sz w:val="28"/>
          <w:szCs w:val="28"/>
          <w:highlight w:val="none"/>
          <w:lang w:val="en-US" w:eastAsia="zh-CN"/>
        </w:rPr>
        <w:t>乙方</w:t>
      </w:r>
      <w:r>
        <w:rPr>
          <w:rFonts w:hint="default" w:ascii="仿宋_GB2312" w:hAnsi="仿宋_GB2312" w:eastAsia="仿宋_GB2312" w:cs="仿宋_GB2312"/>
          <w:color w:val="auto"/>
          <w:sz w:val="28"/>
          <w:szCs w:val="28"/>
          <w:highlight w:val="none"/>
          <w:lang w:val="en-US" w:eastAsia="zh-CN"/>
        </w:rPr>
        <w:t>能力范围</w:t>
      </w:r>
      <w:r>
        <w:rPr>
          <w:rFonts w:hint="eastAsia" w:ascii="仿宋_GB2312" w:hAnsi="仿宋_GB2312" w:eastAsia="仿宋_GB2312" w:cs="仿宋_GB2312"/>
          <w:color w:val="auto"/>
          <w:sz w:val="28"/>
          <w:szCs w:val="28"/>
          <w:highlight w:val="none"/>
          <w:lang w:val="en-US" w:eastAsia="zh-CN"/>
        </w:rPr>
        <w:t>须符合</w:t>
      </w:r>
      <w:r>
        <w:rPr>
          <w:rFonts w:hint="default" w:ascii="仿宋_GB2312" w:hAnsi="仿宋_GB2312" w:eastAsia="仿宋_GB2312" w:cs="仿宋_GB2312"/>
          <w:color w:val="auto"/>
          <w:sz w:val="28"/>
          <w:szCs w:val="28"/>
          <w:highlight w:val="none"/>
          <w:lang w:val="en-US" w:eastAsia="zh-CN"/>
        </w:rPr>
        <w:t>本项目评价标准</w:t>
      </w:r>
      <w:r>
        <w:rPr>
          <w:rFonts w:hint="eastAsia" w:ascii="仿宋_GB2312" w:hAnsi="仿宋_GB2312" w:eastAsia="仿宋_GB2312" w:cs="仿宋_GB2312"/>
          <w:color w:val="auto"/>
          <w:sz w:val="28"/>
          <w:szCs w:val="28"/>
          <w:highlight w:val="none"/>
          <w:lang w:val="en-US" w:eastAsia="zh-CN"/>
        </w:rPr>
        <w:t>。</w:t>
      </w:r>
    </w:p>
    <w:p w14:paraId="42F95C3B">
      <w:pPr>
        <w:pStyle w:val="13"/>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560" w:firstLineChars="200"/>
        <w:textAlignment w:val="auto"/>
        <w:rPr>
          <w:rFonts w:hint="default"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sz w:val="28"/>
          <w:szCs w:val="28"/>
          <w:highlight w:val="none"/>
          <w:lang w:val="en-US" w:eastAsia="zh-CN"/>
        </w:rPr>
        <w:t xml:space="preserve">2 </w:t>
      </w:r>
      <w:r>
        <w:rPr>
          <w:rFonts w:hint="eastAsia" w:ascii="仿宋_GB2312" w:hAnsi="仿宋_GB2312" w:eastAsia="仿宋_GB2312" w:cs="仿宋_GB2312"/>
          <w:color w:val="auto"/>
          <w:kern w:val="2"/>
          <w:sz w:val="28"/>
          <w:szCs w:val="28"/>
          <w:lang w:val="en-US" w:eastAsia="zh-CN" w:bidi="ar-SA"/>
        </w:rPr>
        <w:t>按照《固定污染源烟气排放连续监测技术规范》（试行）（HJ/T75-2017）和《固定污染源烟气排放连续监测系统技术要求及检测方法》（试行）（HJ/T76-2017）要求及</w:t>
      </w:r>
      <w:r>
        <w:rPr>
          <w:rFonts w:hint="default" w:ascii="仿宋_GB2312" w:hAnsi="仿宋_GB2312" w:eastAsia="仿宋_GB2312" w:cs="仿宋_GB2312"/>
          <w:color w:val="auto"/>
          <w:sz w:val="28"/>
          <w:szCs w:val="28"/>
          <w:highlight w:val="none"/>
          <w:lang w:val="en-US" w:eastAsia="zh-CN"/>
        </w:rPr>
        <w:t>《排污许可证申请与核发技术规范化肥工业-氮肥》（HJ 864.1-2017）、《排污单位自行监测技术指南磷肥、钾肥、复混肥料、有机肥料和</w:t>
      </w:r>
      <w:r>
        <w:rPr>
          <w:rFonts w:hint="default" w:ascii="仿宋_GB2312" w:hAnsi="仿宋_GB2312" w:eastAsia="仿宋_GB2312" w:cs="仿宋_GB2312"/>
          <w:color w:val="auto"/>
          <w:kern w:val="2"/>
          <w:sz w:val="28"/>
          <w:szCs w:val="28"/>
          <w:lang w:val="en-US" w:eastAsia="zh-CN" w:bidi="ar-SA"/>
        </w:rPr>
        <w:t>微生物肥料》（HJ1088-2020）、《排污单位自行监测技术指南 总则》（HJ819-2017）等</w:t>
      </w:r>
      <w:r>
        <w:rPr>
          <w:rFonts w:hint="eastAsia" w:ascii="仿宋_GB2312" w:hAnsi="仿宋_GB2312" w:eastAsia="仿宋_GB2312" w:cs="仿宋_GB2312"/>
          <w:color w:val="auto"/>
          <w:kern w:val="2"/>
          <w:sz w:val="28"/>
          <w:szCs w:val="28"/>
          <w:lang w:val="en-US" w:eastAsia="zh-CN" w:bidi="ar-SA"/>
        </w:rPr>
        <w:t>相关</w:t>
      </w:r>
      <w:r>
        <w:rPr>
          <w:rFonts w:hint="default" w:ascii="仿宋_GB2312" w:hAnsi="仿宋_GB2312" w:eastAsia="仿宋_GB2312" w:cs="仿宋_GB2312"/>
          <w:color w:val="auto"/>
          <w:kern w:val="2"/>
          <w:sz w:val="28"/>
          <w:szCs w:val="28"/>
          <w:lang w:val="en-US" w:eastAsia="zh-CN" w:bidi="ar-SA"/>
        </w:rPr>
        <w:t>标准要求对我</w:t>
      </w:r>
      <w:r>
        <w:rPr>
          <w:rFonts w:hint="eastAsia" w:ascii="仿宋_GB2312" w:hAnsi="仿宋_GB2312" w:eastAsia="仿宋_GB2312" w:cs="仿宋_GB2312"/>
          <w:color w:val="auto"/>
          <w:kern w:val="2"/>
          <w:sz w:val="28"/>
          <w:szCs w:val="28"/>
          <w:lang w:val="en-US" w:eastAsia="zh-CN" w:bidi="ar-SA"/>
        </w:rPr>
        <w:t>公司</w:t>
      </w:r>
      <w:r>
        <w:rPr>
          <w:rFonts w:hint="default" w:ascii="仿宋_GB2312" w:hAnsi="仿宋_GB2312" w:eastAsia="仿宋_GB2312" w:cs="仿宋_GB2312"/>
          <w:color w:val="auto"/>
          <w:kern w:val="2"/>
          <w:sz w:val="28"/>
          <w:szCs w:val="28"/>
          <w:lang w:val="en-US" w:eastAsia="zh-CN" w:bidi="ar-SA"/>
        </w:rPr>
        <w:t>环保指标进行监测，按要求出具检验检测报告。</w:t>
      </w:r>
    </w:p>
    <w:p w14:paraId="77D738B1">
      <w:pPr>
        <w:pStyle w:val="13"/>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560" w:firstLineChars="200"/>
        <w:textAlignment w:val="auto"/>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 xml:space="preserve">3 </w:t>
      </w:r>
      <w:r>
        <w:rPr>
          <w:rFonts w:hint="default" w:ascii="仿宋_GB2312" w:hAnsi="仿宋_GB2312" w:eastAsia="仿宋_GB2312" w:cs="仿宋_GB2312"/>
          <w:color w:val="auto"/>
          <w:kern w:val="2"/>
          <w:sz w:val="28"/>
          <w:szCs w:val="28"/>
          <w:lang w:val="en-US" w:eastAsia="zh-CN" w:bidi="ar-SA"/>
        </w:rPr>
        <w:t>按照</w:t>
      </w:r>
      <w:r>
        <w:rPr>
          <w:rFonts w:hint="eastAsia" w:ascii="仿宋_GB2312" w:hAnsi="仿宋_GB2312" w:eastAsia="仿宋_GB2312" w:cs="仿宋_GB2312"/>
          <w:color w:val="auto"/>
          <w:kern w:val="2"/>
          <w:sz w:val="28"/>
          <w:szCs w:val="28"/>
          <w:lang w:val="en-US" w:eastAsia="zh-CN" w:bidi="ar-SA"/>
        </w:rPr>
        <w:t>建设项目竣工环境保护验收暂行办法》（国环规环评[2017]4号）、《建设项目竣工环境保护验收管理办法》（国家环境保护总局令第13号)(2002年2月1日起实施)及《建设项目环境保护管理条例》《建设项目竣工环境保护验收技术指南污染影响类》</w:t>
      </w:r>
      <w:r>
        <w:rPr>
          <w:rFonts w:hint="default" w:ascii="仿宋_GB2312" w:hAnsi="仿宋_GB2312" w:eastAsia="仿宋_GB2312" w:cs="仿宋_GB2312"/>
          <w:color w:val="auto"/>
          <w:kern w:val="2"/>
          <w:sz w:val="28"/>
          <w:szCs w:val="28"/>
          <w:lang w:val="en-US" w:eastAsia="zh-CN" w:bidi="ar-SA"/>
        </w:rPr>
        <w:t>等规范要求，完成</w:t>
      </w:r>
      <w:r>
        <w:rPr>
          <w:rFonts w:hint="eastAsia" w:ascii="仿宋_GB2312" w:hAnsi="仿宋_GB2312" w:eastAsia="仿宋_GB2312" w:cs="仿宋_GB2312"/>
          <w:color w:val="auto"/>
          <w:kern w:val="2"/>
          <w:sz w:val="28"/>
          <w:szCs w:val="28"/>
          <w:lang w:val="en-US" w:eastAsia="zh-CN" w:bidi="ar-SA"/>
        </w:rPr>
        <w:t>靖远煤电清洁高效气化气综合利用(搬迁改造)项目一期工程竣工环境保护验收工作，编制建设项目竣工环境保护验收调查报告表,验收监测（调查）报告、验收意见和其他需要说明的事项等三项内容，具体包括资料收集、环境敏感目标调查、建设项目调查、环境保护设施、环境保护措施落实情况调查、生态影响调查、声环境影响调查等内容；公开相关信息，确保建设项目需要胚胎建设的环境保护设施与主体工程同时投产或者使用，并对验收内容、结论和所公开信息的真实性、准确性和完整性负责的技术审查过程。乙方根据《建设项目竣工环境保护验收技术指南》，完成报告编制工作。</w:t>
      </w:r>
    </w:p>
    <w:p w14:paraId="26746760">
      <w:pPr>
        <w:pStyle w:val="13"/>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560" w:firstLineChars="200"/>
        <w:textAlignment w:val="auto"/>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4 乙方编制的报告应遵守现行的技术规范、评价导则、标准（不仅限于此），当技术规范、评价导则、标准遇有修订时，执行修订后的新规范、导则、标准。</w:t>
      </w:r>
    </w:p>
    <w:p w14:paraId="25F6BA34">
      <w:pPr>
        <w:pStyle w:val="13"/>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560" w:firstLineChars="200"/>
        <w:textAlignment w:val="auto"/>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（二）验收依据</w:t>
      </w:r>
    </w:p>
    <w:p w14:paraId="3FD8D977">
      <w:pPr>
        <w:pStyle w:val="13"/>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560" w:firstLineChars="200"/>
        <w:textAlignment w:val="auto"/>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1.依据《建设项目竣工环境保护验收技术指南》，结合甲方现场实际分阶段编制靖远煤电清洁高效气化气综合利用(搬迁改造)项目一期工程环境保护竣工验收报告工作并备案，协助甲方完成信息公示及“全国建设项目竣工环保验收信息平台”申报。</w:t>
      </w:r>
    </w:p>
    <w:p w14:paraId="097FBD36">
      <w:pPr>
        <w:pStyle w:val="13"/>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560" w:firstLineChars="200"/>
        <w:textAlignment w:val="auto"/>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2.</w:t>
      </w:r>
      <w:r>
        <w:rPr>
          <w:rFonts w:hint="default" w:ascii="仿宋_GB2312" w:hAnsi="仿宋_GB2312" w:eastAsia="仿宋_GB2312" w:cs="仿宋_GB2312"/>
          <w:color w:val="auto"/>
          <w:kern w:val="2"/>
          <w:sz w:val="28"/>
          <w:szCs w:val="28"/>
          <w:lang w:val="en-US" w:eastAsia="zh-CN" w:bidi="ar-SA"/>
        </w:rPr>
        <w:t>协助</w:t>
      </w:r>
      <w:r>
        <w:rPr>
          <w:rFonts w:hint="eastAsia" w:ascii="仿宋_GB2312" w:hAnsi="仿宋_GB2312" w:eastAsia="仿宋_GB2312" w:cs="仿宋_GB2312"/>
          <w:color w:val="auto"/>
          <w:kern w:val="2"/>
          <w:sz w:val="28"/>
          <w:szCs w:val="28"/>
          <w:lang w:val="en-US" w:eastAsia="zh-CN" w:bidi="ar-SA"/>
        </w:rPr>
        <w:t>甲方</w:t>
      </w:r>
      <w:r>
        <w:rPr>
          <w:rFonts w:hint="default" w:ascii="仿宋_GB2312" w:hAnsi="仿宋_GB2312" w:eastAsia="仿宋_GB2312" w:cs="仿宋_GB2312"/>
          <w:color w:val="auto"/>
          <w:kern w:val="2"/>
          <w:sz w:val="28"/>
          <w:szCs w:val="28"/>
          <w:lang w:val="en-US" w:eastAsia="zh-CN" w:bidi="ar-SA"/>
        </w:rPr>
        <w:t>按照《环境管理台账及排污许可证执行报告技术规范》要求，开展环境台账记录、编制季度、年度执行报告填报。</w:t>
      </w:r>
    </w:p>
    <w:p w14:paraId="014B5553">
      <w:pPr>
        <w:pStyle w:val="14"/>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四、评价范围、完成时限</w:t>
      </w:r>
    </w:p>
    <w:p w14:paraId="3C6D5319">
      <w:pPr>
        <w:pStyle w:val="14"/>
        <w:keepNext w:val="0"/>
        <w:keepLines w:val="0"/>
        <w:pageBreakBefore w:val="0"/>
        <w:widowControl w:val="0"/>
        <w:kinsoku/>
        <w:wordWrap/>
        <w:overflowPunct/>
        <w:topLinePunct w:val="0"/>
        <w:autoSpaceDE/>
        <w:autoSpaceDN/>
        <w:bidi w:val="0"/>
        <w:snapToGrid/>
        <w:spacing w:line="360" w:lineRule="auto"/>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 w:val="0"/>
          <w:bCs/>
          <w:color w:val="auto"/>
          <w:kern w:val="2"/>
          <w:sz w:val="28"/>
          <w:szCs w:val="28"/>
          <w:highlight w:val="none"/>
          <w:lang w:val="en-US" w:eastAsia="zh-CN" w:bidi="ar-SA"/>
        </w:rPr>
        <w:t>4.1</w:t>
      </w:r>
      <w:r>
        <w:rPr>
          <w:rFonts w:hint="eastAsia" w:ascii="仿宋_GB2312" w:hAnsi="仿宋_GB2312" w:eastAsia="仿宋_GB2312" w:cs="仿宋_GB2312"/>
          <w:bCs/>
          <w:color w:val="auto"/>
          <w:sz w:val="28"/>
          <w:szCs w:val="28"/>
          <w:highlight w:val="none"/>
        </w:rPr>
        <w:t>验收范围：依据《</w:t>
      </w:r>
      <w:r>
        <w:rPr>
          <w:rFonts w:hint="eastAsia" w:ascii="仿宋_GB2312" w:hAnsi="仿宋_GB2312" w:eastAsia="仿宋_GB2312" w:cs="仿宋_GB2312"/>
          <w:color w:val="auto"/>
          <w:sz w:val="28"/>
          <w:szCs w:val="28"/>
          <w:lang w:val="en-US" w:eastAsia="zh-CN"/>
        </w:rPr>
        <w:t>靖远煤电清洁高效气化气综合利用(搬迁改造)项目环境影响报告书</w:t>
      </w:r>
      <w:r>
        <w:rPr>
          <w:rFonts w:hint="eastAsia" w:ascii="仿宋_GB2312" w:hAnsi="仿宋_GB2312" w:eastAsia="仿宋_GB2312" w:cs="仿宋_GB2312"/>
          <w:bCs/>
          <w:color w:val="auto"/>
          <w:sz w:val="28"/>
          <w:szCs w:val="28"/>
          <w:highlight w:val="none"/>
        </w:rPr>
        <w:t>》及其批复文件，确定</w:t>
      </w:r>
      <w:r>
        <w:rPr>
          <w:rFonts w:hint="eastAsia" w:ascii="仿宋_GB2312" w:hAnsi="仿宋_GB2312" w:eastAsia="仿宋_GB2312" w:cs="仿宋_GB2312"/>
          <w:color w:val="auto"/>
          <w:sz w:val="28"/>
          <w:szCs w:val="28"/>
          <w:lang w:val="en-US" w:eastAsia="zh-CN"/>
        </w:rPr>
        <w:t>本次项目</w:t>
      </w:r>
      <w:r>
        <w:rPr>
          <w:rFonts w:hint="eastAsia" w:ascii="仿宋_GB2312" w:hAnsi="仿宋_GB2312" w:eastAsia="仿宋_GB2312" w:cs="仿宋_GB2312"/>
          <w:bCs/>
          <w:color w:val="auto"/>
          <w:sz w:val="28"/>
          <w:szCs w:val="28"/>
          <w:highlight w:val="none"/>
        </w:rPr>
        <w:t>环保竣工验收调查报告范围。</w:t>
      </w:r>
    </w:p>
    <w:p w14:paraId="365CEE3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lang w:val="en-US" w:eastAsia="zh-CN"/>
        </w:rPr>
        <w:t>4</w:t>
      </w:r>
      <w:r>
        <w:rPr>
          <w:rFonts w:hint="eastAsia" w:ascii="仿宋_GB2312" w:hAnsi="仿宋_GB2312" w:eastAsia="仿宋_GB2312" w:cs="仿宋_GB2312"/>
          <w:bCs/>
          <w:color w:val="auto"/>
          <w:sz w:val="28"/>
          <w:szCs w:val="28"/>
          <w:highlight w:val="none"/>
          <w:lang w:eastAsia="zh-CN"/>
        </w:rPr>
        <w:t>.</w:t>
      </w:r>
      <w:r>
        <w:rPr>
          <w:rFonts w:hint="eastAsia" w:ascii="仿宋_GB2312" w:hAnsi="仿宋_GB2312" w:eastAsia="仿宋_GB2312" w:cs="仿宋_GB2312"/>
          <w:bCs/>
          <w:color w:val="auto"/>
          <w:sz w:val="28"/>
          <w:szCs w:val="28"/>
          <w:highlight w:val="none"/>
          <w:lang w:val="en-US" w:eastAsia="zh-CN"/>
        </w:rPr>
        <w:t>2</w:t>
      </w:r>
      <w:r>
        <w:rPr>
          <w:rFonts w:hint="eastAsia" w:ascii="仿宋_GB2312" w:hAnsi="仿宋_GB2312" w:eastAsia="仿宋_GB2312" w:cs="仿宋_GB2312"/>
          <w:bCs/>
          <w:color w:val="auto"/>
          <w:sz w:val="28"/>
          <w:szCs w:val="28"/>
          <w:highlight w:val="none"/>
        </w:rPr>
        <w:t>.完成时间：</w:t>
      </w:r>
    </w:p>
    <w:p w14:paraId="422E8DA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bCs/>
          <w:color w:val="auto"/>
          <w:sz w:val="28"/>
          <w:szCs w:val="28"/>
          <w:highlight w:val="none"/>
          <w:lang w:eastAsia="zh-CN"/>
        </w:rPr>
      </w:pPr>
      <w:r>
        <w:rPr>
          <w:rFonts w:hint="eastAsia" w:ascii="仿宋_GB2312" w:hAnsi="仿宋_GB2312" w:eastAsia="仿宋_GB2312" w:cs="仿宋_GB2312"/>
          <w:bCs/>
          <w:color w:val="auto"/>
          <w:sz w:val="28"/>
          <w:szCs w:val="28"/>
          <w:highlight w:val="none"/>
          <w:lang w:val="en-US" w:eastAsia="zh-CN"/>
        </w:rPr>
        <w:t>4.2.1</w:t>
      </w:r>
      <w:r>
        <w:rPr>
          <w:rFonts w:hint="eastAsia" w:ascii="仿宋_GB2312" w:hAnsi="仿宋_GB2312" w:eastAsia="仿宋_GB2312" w:cs="仿宋_GB2312"/>
          <w:color w:val="auto"/>
          <w:sz w:val="28"/>
          <w:szCs w:val="28"/>
          <w:lang w:val="en-US" w:eastAsia="zh-CN"/>
        </w:rPr>
        <w:t>靖远煤电清洁高效气化气综合利用(搬迁改造)项目一期工程（已建成且处于试运行状态的装置）</w:t>
      </w:r>
      <w:r>
        <w:rPr>
          <w:rFonts w:hint="eastAsia" w:ascii="仿宋_GB2312" w:hAnsi="仿宋_GB2312" w:eastAsia="仿宋_GB2312" w:cs="仿宋_GB2312"/>
          <w:bCs/>
          <w:color w:val="auto"/>
          <w:sz w:val="28"/>
          <w:szCs w:val="28"/>
          <w:highlight w:val="none"/>
        </w:rPr>
        <w:t>环保竣工验收监测</w:t>
      </w:r>
      <w:r>
        <w:rPr>
          <w:rFonts w:hint="eastAsia" w:ascii="仿宋_GB2312" w:hAnsi="仿宋_GB2312" w:eastAsia="仿宋_GB2312" w:cs="仿宋_GB2312"/>
          <w:bCs/>
          <w:color w:val="auto"/>
          <w:sz w:val="28"/>
          <w:szCs w:val="28"/>
          <w:highlight w:val="none"/>
          <w:lang w:eastAsia="zh-CN"/>
        </w:rPr>
        <w:t>、验收</w:t>
      </w:r>
      <w:r>
        <w:rPr>
          <w:rFonts w:hint="eastAsia" w:ascii="仿宋_GB2312" w:hAnsi="仿宋_GB2312" w:eastAsia="仿宋_GB2312" w:cs="仿宋_GB2312"/>
          <w:bCs/>
          <w:color w:val="auto"/>
          <w:sz w:val="28"/>
          <w:szCs w:val="28"/>
          <w:highlight w:val="none"/>
        </w:rPr>
        <w:t>调查报告</w:t>
      </w:r>
      <w:r>
        <w:rPr>
          <w:rFonts w:hint="eastAsia" w:ascii="仿宋_GB2312" w:hAnsi="仿宋_GB2312" w:eastAsia="仿宋_GB2312" w:cs="仿宋_GB2312"/>
          <w:bCs/>
          <w:color w:val="auto"/>
          <w:sz w:val="28"/>
          <w:szCs w:val="28"/>
          <w:highlight w:val="none"/>
          <w:lang w:eastAsia="zh-CN"/>
        </w:rPr>
        <w:t>编制及专家评审于</w:t>
      </w:r>
      <w:r>
        <w:rPr>
          <w:rFonts w:hint="eastAsia" w:ascii="仿宋_GB2312" w:hAnsi="仿宋_GB2312" w:eastAsia="仿宋_GB2312" w:cs="仿宋_GB2312"/>
          <w:bCs/>
          <w:color w:val="auto"/>
          <w:sz w:val="28"/>
          <w:szCs w:val="28"/>
          <w:highlight w:val="none"/>
        </w:rPr>
        <w:t>合同签订</w:t>
      </w:r>
      <w:r>
        <w:rPr>
          <w:rFonts w:hint="eastAsia" w:ascii="仿宋_GB2312" w:hAnsi="仿宋_GB2312" w:eastAsia="仿宋_GB2312" w:cs="仿宋_GB2312"/>
          <w:bCs/>
          <w:color w:val="auto"/>
          <w:sz w:val="28"/>
          <w:szCs w:val="28"/>
          <w:highlight w:val="none"/>
          <w:lang w:eastAsia="zh-CN"/>
        </w:rPr>
        <w:t>后</w:t>
      </w:r>
      <w:r>
        <w:rPr>
          <w:rFonts w:hint="eastAsia" w:ascii="仿宋_GB2312" w:hAnsi="仿宋_GB2312" w:eastAsia="仿宋_GB2312" w:cs="仿宋_GB2312"/>
          <w:bCs/>
          <w:color w:val="auto"/>
          <w:sz w:val="28"/>
          <w:szCs w:val="28"/>
          <w:highlight w:val="none"/>
          <w:lang w:val="en-US" w:eastAsia="zh-CN"/>
        </w:rPr>
        <w:t>35</w:t>
      </w:r>
      <w:r>
        <w:rPr>
          <w:rFonts w:hint="eastAsia" w:ascii="仿宋_GB2312" w:hAnsi="仿宋_GB2312" w:eastAsia="仿宋_GB2312" w:cs="仿宋_GB2312"/>
          <w:bCs/>
          <w:color w:val="auto"/>
          <w:sz w:val="28"/>
          <w:szCs w:val="28"/>
          <w:highlight w:val="none"/>
        </w:rPr>
        <w:t>日</w:t>
      </w:r>
      <w:r>
        <w:rPr>
          <w:rFonts w:hint="eastAsia" w:ascii="仿宋_GB2312" w:hAnsi="仿宋_GB2312" w:eastAsia="仿宋_GB2312" w:cs="仿宋_GB2312"/>
          <w:bCs/>
          <w:color w:val="auto"/>
          <w:sz w:val="28"/>
          <w:szCs w:val="28"/>
          <w:highlight w:val="none"/>
          <w:lang w:eastAsia="zh-CN"/>
        </w:rPr>
        <w:t>内完成</w:t>
      </w:r>
      <w:r>
        <w:rPr>
          <w:rFonts w:hint="eastAsia" w:ascii="仿宋_GB2312" w:hAnsi="仿宋_GB2312" w:eastAsia="仿宋_GB2312" w:cs="仿宋_GB2312"/>
          <w:bCs/>
          <w:color w:val="auto"/>
          <w:sz w:val="28"/>
          <w:szCs w:val="28"/>
          <w:highlight w:val="none"/>
        </w:rPr>
        <w:t>并取得相关部门批复文件</w:t>
      </w:r>
      <w:r>
        <w:rPr>
          <w:rFonts w:hint="eastAsia" w:ascii="仿宋_GB2312" w:hAnsi="仿宋_GB2312" w:eastAsia="仿宋_GB2312" w:cs="仿宋_GB2312"/>
          <w:bCs/>
          <w:color w:val="auto"/>
          <w:sz w:val="28"/>
          <w:szCs w:val="28"/>
          <w:highlight w:val="none"/>
          <w:lang w:eastAsia="zh-CN"/>
        </w:rPr>
        <w:t>；报告编制完成后，协助甲方完成信息公示及“全国建设项目竣工环保验收信息平台”申报工作。</w:t>
      </w:r>
    </w:p>
    <w:p w14:paraId="2E3802F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bCs/>
          <w:color w:val="auto"/>
          <w:sz w:val="28"/>
          <w:szCs w:val="28"/>
          <w:highlight w:val="none"/>
          <w:lang w:eastAsia="zh-CN"/>
        </w:rPr>
      </w:pPr>
      <w:r>
        <w:rPr>
          <w:rFonts w:hint="eastAsia" w:ascii="仿宋_GB2312" w:hAnsi="仿宋_GB2312" w:eastAsia="仿宋_GB2312" w:cs="仿宋_GB2312"/>
          <w:bCs/>
          <w:color w:val="auto"/>
          <w:sz w:val="28"/>
          <w:szCs w:val="28"/>
          <w:highlight w:val="none"/>
          <w:lang w:val="en-US" w:eastAsia="zh-CN"/>
        </w:rPr>
        <w:t>4.2.2</w:t>
      </w:r>
      <w:r>
        <w:rPr>
          <w:rFonts w:hint="eastAsia" w:ascii="仿宋_GB2312" w:hAnsi="仿宋_GB2312" w:eastAsia="仿宋_GB2312" w:cs="仿宋_GB2312"/>
          <w:bCs/>
          <w:color w:val="auto"/>
          <w:sz w:val="28"/>
          <w:szCs w:val="28"/>
          <w:highlight w:val="none"/>
          <w:lang w:eastAsia="zh-CN"/>
        </w:rPr>
        <w:t>待甲方</w:t>
      </w:r>
      <w:r>
        <w:rPr>
          <w:rFonts w:hint="eastAsia" w:ascii="仿宋_GB2312" w:hAnsi="仿宋_GB2312" w:eastAsia="仿宋_GB2312" w:cs="仿宋_GB2312"/>
          <w:color w:val="auto"/>
          <w:sz w:val="28"/>
          <w:szCs w:val="28"/>
          <w:lang w:val="en-US" w:eastAsia="zh-CN"/>
        </w:rPr>
        <w:t>三聚氰胺、尿素硝铵溶液、PSA制氢装置开展试运行程序，且相关条件成熟后，甲方书面文件形式通知乙方开展相关工作之日起35日内完成</w:t>
      </w:r>
      <w:r>
        <w:rPr>
          <w:rFonts w:hint="eastAsia" w:ascii="仿宋_GB2312" w:hAnsi="仿宋_GB2312" w:eastAsia="仿宋_GB2312" w:cs="仿宋_GB2312"/>
          <w:bCs/>
          <w:color w:val="auto"/>
          <w:sz w:val="28"/>
          <w:szCs w:val="28"/>
          <w:highlight w:val="none"/>
        </w:rPr>
        <w:t>环保竣工验收监测</w:t>
      </w:r>
      <w:r>
        <w:rPr>
          <w:rFonts w:hint="eastAsia" w:ascii="仿宋_GB2312" w:hAnsi="仿宋_GB2312" w:eastAsia="仿宋_GB2312" w:cs="仿宋_GB2312"/>
          <w:bCs/>
          <w:color w:val="auto"/>
          <w:sz w:val="28"/>
          <w:szCs w:val="28"/>
          <w:highlight w:val="none"/>
          <w:lang w:eastAsia="zh-CN"/>
        </w:rPr>
        <w:t>、验收</w:t>
      </w:r>
      <w:r>
        <w:rPr>
          <w:rFonts w:hint="eastAsia" w:ascii="仿宋_GB2312" w:hAnsi="仿宋_GB2312" w:eastAsia="仿宋_GB2312" w:cs="仿宋_GB2312"/>
          <w:bCs/>
          <w:color w:val="auto"/>
          <w:sz w:val="28"/>
          <w:szCs w:val="28"/>
          <w:highlight w:val="none"/>
        </w:rPr>
        <w:t>调查报告</w:t>
      </w:r>
      <w:r>
        <w:rPr>
          <w:rFonts w:hint="eastAsia" w:ascii="仿宋_GB2312" w:hAnsi="仿宋_GB2312" w:eastAsia="仿宋_GB2312" w:cs="仿宋_GB2312"/>
          <w:bCs/>
          <w:color w:val="auto"/>
          <w:sz w:val="28"/>
          <w:szCs w:val="28"/>
          <w:highlight w:val="none"/>
          <w:lang w:eastAsia="zh-CN"/>
        </w:rPr>
        <w:t>编制及专家评审并取得</w:t>
      </w:r>
      <w:r>
        <w:rPr>
          <w:rFonts w:hint="eastAsia" w:ascii="仿宋_GB2312" w:hAnsi="仿宋_GB2312" w:eastAsia="仿宋_GB2312" w:cs="仿宋_GB2312"/>
          <w:bCs/>
          <w:color w:val="auto"/>
          <w:sz w:val="28"/>
          <w:szCs w:val="28"/>
          <w:highlight w:val="none"/>
        </w:rPr>
        <w:t>相关部门批复文件</w:t>
      </w:r>
      <w:r>
        <w:rPr>
          <w:rFonts w:hint="eastAsia" w:ascii="仿宋_GB2312" w:hAnsi="仿宋_GB2312" w:eastAsia="仿宋_GB2312" w:cs="仿宋_GB2312"/>
          <w:bCs/>
          <w:color w:val="auto"/>
          <w:sz w:val="28"/>
          <w:szCs w:val="28"/>
          <w:highlight w:val="none"/>
          <w:lang w:eastAsia="zh-CN"/>
        </w:rPr>
        <w:t>；协助甲方完成信息公示及“全国建设项目竣工环保验收信息平台”申报工作。</w:t>
      </w:r>
    </w:p>
    <w:p w14:paraId="5F61931E">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五、合同价款及验收、结算方式</w:t>
      </w:r>
    </w:p>
    <w:p w14:paraId="605A5363">
      <w:pPr>
        <w:keepNext w:val="0"/>
        <w:keepLines w:val="0"/>
        <w:pageBreakBefore w:val="0"/>
        <w:widowControl w:val="0"/>
        <w:kinsoku/>
        <w:wordWrap w:val="0"/>
        <w:overflowPunct/>
        <w:topLinePunct w:val="0"/>
        <w:autoSpaceDE/>
        <w:autoSpaceDN/>
        <w:bidi w:val="0"/>
        <w:adjustRightInd/>
        <w:snapToGrid/>
        <w:spacing w:line="360" w:lineRule="auto"/>
        <w:ind w:firstLine="560" w:firstLineChars="200"/>
        <w:jc w:val="left"/>
        <w:textAlignment w:val="auto"/>
        <w:rPr>
          <w:rFonts w:hint="eastAsia" w:ascii="仿宋_GB2312" w:hAnsi="仿宋_GB2312" w:eastAsia="仿宋_GB2312" w:cs="仿宋_GB2312"/>
          <w:b w:val="0"/>
          <w:bCs/>
          <w:color w:val="auto"/>
          <w:kern w:val="2"/>
          <w:sz w:val="28"/>
          <w:szCs w:val="28"/>
          <w:highlight w:val="none"/>
          <w:lang w:val="en-US" w:eastAsia="zh-CN" w:bidi="ar-SA"/>
        </w:rPr>
      </w:pPr>
      <w:r>
        <w:rPr>
          <w:rFonts w:hint="eastAsia" w:ascii="仿宋_GB2312" w:hAnsi="仿宋_GB2312" w:eastAsia="仿宋_GB2312" w:cs="仿宋_GB2312"/>
          <w:b w:val="0"/>
          <w:bCs/>
          <w:color w:val="auto"/>
          <w:kern w:val="2"/>
          <w:sz w:val="28"/>
          <w:szCs w:val="28"/>
          <w:highlight w:val="none"/>
          <w:lang w:val="en-US" w:eastAsia="zh-CN" w:bidi="ar-SA"/>
        </w:rPr>
        <w:t>5.1 合同价款：</w:t>
      </w:r>
      <w:r>
        <w:rPr>
          <w:rFonts w:hint="eastAsia" w:ascii="仿宋_GB2312" w:hAnsi="仿宋_GB2312" w:eastAsia="仿宋_GB2312" w:cs="仿宋_GB2312"/>
          <w:sz w:val="28"/>
          <w:szCs w:val="28"/>
          <w:highlight w:val="none"/>
          <w:lang w:val="en-US" w:eastAsia="zh-CN"/>
        </w:rPr>
        <w:t>本合同费用为含税金额</w:t>
      </w:r>
      <w:r>
        <w:rPr>
          <w:rFonts w:hint="eastAsia" w:ascii="仿宋_GB2312" w:hAnsi="仿宋_GB2312" w:eastAsia="仿宋_GB2312" w:cs="仿宋_GB2312"/>
          <w:sz w:val="28"/>
          <w:szCs w:val="28"/>
          <w:highlight w:val="none"/>
          <w:u w:val="single"/>
          <w:lang w:val="en-US" w:eastAsia="zh-CN"/>
        </w:rPr>
        <w:t xml:space="preserve">      </w:t>
      </w:r>
      <w:r>
        <w:rPr>
          <w:rFonts w:hint="eastAsia" w:ascii="仿宋_GB2312" w:hAnsi="仿宋_GB2312" w:eastAsia="仿宋_GB2312" w:cs="仿宋_GB2312"/>
          <w:sz w:val="28"/>
          <w:szCs w:val="28"/>
          <w:highlight w:val="none"/>
          <w:lang w:val="en-US" w:eastAsia="zh-CN"/>
        </w:rPr>
        <w:t xml:space="preserve">元（大写：    </w:t>
      </w:r>
      <w:r>
        <w:rPr>
          <w:rFonts w:hint="eastAsia" w:ascii="仿宋_GB2312" w:hAnsi="仿宋_GB2312" w:eastAsia="仿宋_GB2312" w:cs="仿宋_GB2312"/>
          <w:sz w:val="28"/>
          <w:szCs w:val="28"/>
          <w:highlight w:val="none"/>
          <w:u w:val="none"/>
          <w:lang w:val="en-US" w:eastAsia="zh-CN"/>
        </w:rPr>
        <w:t>元整），增值税税率为6%，</w:t>
      </w:r>
    </w:p>
    <w:p w14:paraId="4F464A25">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_GB2312" w:hAnsi="仿宋_GB2312" w:eastAsia="仿宋_GB2312" w:cs="仿宋_GB2312"/>
          <w:b w:val="0"/>
          <w:bCs/>
          <w:color w:val="auto"/>
          <w:kern w:val="2"/>
          <w:sz w:val="28"/>
          <w:szCs w:val="28"/>
          <w:highlight w:val="none"/>
          <w:lang w:val="en-US" w:eastAsia="zh-CN" w:bidi="ar-SA"/>
        </w:rPr>
      </w:pPr>
      <w:r>
        <w:rPr>
          <w:rFonts w:hint="eastAsia" w:ascii="仿宋_GB2312" w:hAnsi="仿宋_GB2312" w:eastAsia="仿宋_GB2312" w:cs="仿宋_GB2312"/>
          <w:b w:val="0"/>
          <w:bCs/>
          <w:color w:val="auto"/>
          <w:kern w:val="2"/>
          <w:sz w:val="28"/>
          <w:szCs w:val="28"/>
          <w:highlight w:val="none"/>
          <w:lang w:val="en-US" w:eastAsia="zh-CN" w:bidi="ar-SA"/>
        </w:rPr>
        <w:t>5.2 合同价款的调整：本合同包含本合同服务费用包含包括</w:t>
      </w:r>
      <w:r>
        <w:rPr>
          <w:rFonts w:hint="eastAsia" w:ascii="仿宋_GB2312" w:hAnsi="仿宋_GB2312" w:eastAsia="仿宋_GB2312" w:cs="仿宋_GB2312"/>
          <w:bCs/>
          <w:color w:val="auto"/>
          <w:sz w:val="28"/>
          <w:szCs w:val="28"/>
          <w:highlight w:val="none"/>
        </w:rPr>
        <w:t>验收监测</w:t>
      </w:r>
      <w:r>
        <w:rPr>
          <w:rFonts w:hint="eastAsia" w:ascii="仿宋_GB2312" w:hAnsi="仿宋_GB2312" w:eastAsia="仿宋_GB2312" w:cs="仿宋_GB2312"/>
          <w:bCs/>
          <w:color w:val="auto"/>
          <w:sz w:val="28"/>
          <w:szCs w:val="28"/>
          <w:highlight w:val="none"/>
          <w:lang w:eastAsia="zh-CN"/>
        </w:rPr>
        <w:t>及</w:t>
      </w:r>
      <w:r>
        <w:rPr>
          <w:rFonts w:hint="eastAsia" w:ascii="仿宋_GB2312" w:hAnsi="仿宋_GB2312" w:eastAsia="仿宋_GB2312" w:cs="仿宋_GB2312"/>
          <w:b w:val="0"/>
          <w:bCs/>
          <w:color w:val="auto"/>
          <w:kern w:val="2"/>
          <w:sz w:val="28"/>
          <w:szCs w:val="28"/>
          <w:highlight w:val="none"/>
          <w:lang w:val="en-US" w:eastAsia="zh-CN" w:bidi="ar-SA"/>
        </w:rPr>
        <w:t>报告编制、修订、评审、交通、食宿（包含专家食宿）、税金等与完成本承揽工作有关的全部费用，合同签订后，合同价款不做调整。</w:t>
      </w:r>
    </w:p>
    <w:p w14:paraId="6E9603A6">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val="0"/>
          <w:bCs/>
          <w:color w:val="auto"/>
          <w:kern w:val="2"/>
          <w:sz w:val="28"/>
          <w:szCs w:val="28"/>
          <w:highlight w:val="none"/>
          <w:lang w:val="en-US" w:eastAsia="zh-CN" w:bidi="ar-SA"/>
        </w:rPr>
        <w:t>5.3 乙方编制的</w:t>
      </w:r>
      <w:r>
        <w:rPr>
          <w:rFonts w:hint="eastAsia" w:ascii="仿宋_GB2312" w:hAnsi="仿宋_GB2312" w:eastAsia="仿宋_GB2312" w:cs="仿宋_GB2312"/>
          <w:color w:val="auto"/>
          <w:sz w:val="28"/>
          <w:szCs w:val="28"/>
          <w:highlight w:val="none"/>
        </w:rPr>
        <w:t>报告</w:t>
      </w:r>
      <w:r>
        <w:rPr>
          <w:rFonts w:hint="eastAsia" w:ascii="仿宋_GB2312" w:hAnsi="仿宋_GB2312" w:eastAsia="仿宋_GB2312" w:cs="仿宋_GB2312"/>
          <w:color w:val="auto"/>
          <w:sz w:val="28"/>
          <w:szCs w:val="28"/>
          <w:highlight w:val="none"/>
          <w:lang w:eastAsia="zh-CN"/>
        </w:rPr>
        <w:t>若未</w:t>
      </w:r>
      <w:r>
        <w:rPr>
          <w:rFonts w:hint="eastAsia" w:ascii="仿宋_GB2312" w:hAnsi="仿宋_GB2312" w:eastAsia="仿宋_GB2312" w:cs="仿宋_GB2312"/>
          <w:color w:val="auto"/>
          <w:sz w:val="28"/>
          <w:szCs w:val="28"/>
          <w:highlight w:val="none"/>
        </w:rPr>
        <w:t>一次性通过评审并</w:t>
      </w:r>
      <w:r>
        <w:rPr>
          <w:rFonts w:hint="eastAsia" w:ascii="仿宋_GB2312" w:hAnsi="仿宋_GB2312" w:eastAsia="仿宋_GB2312" w:cs="仿宋_GB2312"/>
          <w:color w:val="auto"/>
          <w:sz w:val="28"/>
          <w:szCs w:val="28"/>
          <w:highlight w:val="none"/>
          <w:lang w:eastAsia="zh-CN"/>
        </w:rPr>
        <w:t>未能</w:t>
      </w:r>
      <w:r>
        <w:rPr>
          <w:rFonts w:hint="eastAsia" w:ascii="仿宋_GB2312" w:hAnsi="仿宋_GB2312" w:eastAsia="仿宋_GB2312" w:cs="仿宋_GB2312"/>
          <w:color w:val="auto"/>
          <w:sz w:val="28"/>
          <w:szCs w:val="28"/>
          <w:highlight w:val="none"/>
        </w:rPr>
        <w:t>取得相关部门批复，由此产生</w:t>
      </w:r>
      <w:r>
        <w:rPr>
          <w:rFonts w:hint="eastAsia" w:ascii="仿宋_GB2312" w:hAnsi="仿宋_GB2312" w:eastAsia="仿宋_GB2312" w:cs="仿宋_GB2312"/>
          <w:color w:val="auto"/>
          <w:sz w:val="28"/>
          <w:szCs w:val="28"/>
          <w:highlight w:val="none"/>
          <w:lang w:eastAsia="zh-CN"/>
        </w:rPr>
        <w:t>二次重</w:t>
      </w:r>
      <w:r>
        <w:rPr>
          <w:rFonts w:hint="eastAsia" w:ascii="仿宋_GB2312" w:hAnsi="仿宋_GB2312" w:eastAsia="仿宋_GB2312" w:cs="仿宋_GB2312"/>
          <w:color w:val="auto"/>
          <w:sz w:val="28"/>
          <w:szCs w:val="28"/>
          <w:highlight w:val="none"/>
        </w:rPr>
        <w:t>新编制报告等后续费用由乙方承担。</w:t>
      </w:r>
    </w:p>
    <w:p w14:paraId="7D6696BB">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color w:val="auto"/>
          <w:sz w:val="28"/>
          <w:szCs w:val="28"/>
          <w:highlight w:val="none"/>
          <w:lang w:val="en-US" w:eastAsia="zh-CN"/>
        </w:rPr>
        <w:t>5.4 乙方开展的验收检测按照实际工作内容进行付款。</w:t>
      </w:r>
    </w:p>
    <w:p w14:paraId="0CE60CE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_GB2312" w:hAnsi="仿宋_GB2312" w:eastAsia="仿宋_GB2312" w:cs="仿宋_GB2312"/>
          <w:b w:val="0"/>
          <w:bCs/>
          <w:color w:val="auto"/>
          <w:kern w:val="2"/>
          <w:sz w:val="28"/>
          <w:szCs w:val="28"/>
          <w:highlight w:val="none"/>
          <w:lang w:val="en-US" w:eastAsia="zh-CN" w:bidi="ar-SA"/>
        </w:rPr>
      </w:pPr>
      <w:r>
        <w:rPr>
          <w:rFonts w:hint="eastAsia" w:ascii="仿宋_GB2312" w:hAnsi="仿宋_GB2312" w:eastAsia="仿宋_GB2312" w:cs="仿宋_GB2312"/>
          <w:b w:val="0"/>
          <w:bCs/>
          <w:color w:val="auto"/>
          <w:kern w:val="2"/>
          <w:sz w:val="28"/>
          <w:szCs w:val="28"/>
          <w:highlight w:val="none"/>
          <w:lang w:val="en-US" w:eastAsia="zh-CN" w:bidi="ar-SA"/>
        </w:rPr>
        <w:t>5.4 结算方式</w:t>
      </w:r>
    </w:p>
    <w:p w14:paraId="51172379">
      <w:pPr>
        <w:pStyle w:val="15"/>
        <w:spacing w:line="360" w:lineRule="auto"/>
        <w:jc w:val="both"/>
        <w:rPr>
          <w:rFonts w:hint="eastAsia" w:ascii="仿宋_GB2312" w:hAnsi="仿宋_GB2312" w:eastAsia="仿宋_GB2312" w:cs="仿宋_GB2312"/>
          <w:b w:val="0"/>
          <w:kern w:val="2"/>
          <w:sz w:val="28"/>
          <w:szCs w:val="28"/>
          <w:highlight w:val="none"/>
          <w:lang w:val="en-US" w:eastAsia="zh-CN" w:bidi="ar-SA"/>
        </w:rPr>
      </w:pPr>
      <w:r>
        <w:rPr>
          <w:rFonts w:hint="eastAsia" w:ascii="仿宋_GB2312" w:hAnsi="仿宋_GB2312" w:eastAsia="仿宋_GB2312" w:cs="仿宋_GB2312"/>
          <w:b w:val="0"/>
          <w:kern w:val="2"/>
          <w:sz w:val="28"/>
          <w:szCs w:val="28"/>
          <w:highlight w:val="none"/>
          <w:lang w:val="en-US" w:eastAsia="zh-CN" w:bidi="ar-SA"/>
        </w:rPr>
        <w:t>（1）甲方通过银行转账或承兑汇票支付。</w:t>
      </w:r>
    </w:p>
    <w:p w14:paraId="24948028">
      <w:pPr>
        <w:keepNext w:val="0"/>
        <w:keepLines w:val="0"/>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 w:val="0"/>
          <w:kern w:val="2"/>
          <w:sz w:val="28"/>
          <w:szCs w:val="28"/>
          <w:highlight w:val="none"/>
          <w:lang w:val="en-US" w:eastAsia="zh-CN" w:bidi="ar-SA"/>
        </w:rPr>
      </w:pPr>
      <w:r>
        <w:rPr>
          <w:rFonts w:hint="eastAsia" w:ascii="仿宋_GB2312" w:hAnsi="仿宋_GB2312" w:eastAsia="仿宋_GB2312" w:cs="仿宋_GB2312"/>
          <w:b w:val="0"/>
          <w:kern w:val="2"/>
          <w:sz w:val="28"/>
          <w:szCs w:val="28"/>
          <w:highlight w:val="none"/>
          <w:lang w:val="en-US" w:eastAsia="zh-CN" w:bidi="ar-SA"/>
        </w:rPr>
        <w:t>（2）乙方根据甲方要求完成靖远煤电清洁高效气化气综合利用(搬迁改造)项目一期工程环保竣工验收调查报告编制并通过专家评审，将纸质版报告装订寄送甲方（验收报告纸质版各12份、word及pdf电子版各1份、验收监测报告各4份），协助甲方完成信息公示及“全国建设项目竣工环保验收信息平台”申报，并由甲方和相关单位完成验收工作后三个月内，甲方一次性结清项目款。甲方付款前乙方出具全额增值税专用发票及相应金额的财务收据。</w:t>
      </w:r>
    </w:p>
    <w:p w14:paraId="6F958EEF">
      <w:pPr>
        <w:spacing w:line="360" w:lineRule="auto"/>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lang w:eastAsia="zh-CN"/>
        </w:rPr>
        <w:t>六</w:t>
      </w:r>
      <w:r>
        <w:rPr>
          <w:rFonts w:hint="eastAsia" w:ascii="仿宋_GB2312" w:hAnsi="仿宋_GB2312" w:eastAsia="仿宋_GB2312" w:cs="仿宋_GB2312"/>
          <w:b/>
          <w:sz w:val="28"/>
          <w:szCs w:val="28"/>
          <w:lang w:val="en-US" w:eastAsia="zh-CN"/>
        </w:rPr>
        <w:t>、</w:t>
      </w:r>
      <w:r>
        <w:rPr>
          <w:rFonts w:hint="eastAsia" w:ascii="仿宋_GB2312" w:hAnsi="仿宋_GB2312" w:eastAsia="仿宋_GB2312" w:cs="仿宋_GB2312"/>
          <w:b/>
          <w:sz w:val="28"/>
          <w:szCs w:val="28"/>
        </w:rPr>
        <w:t>甲乙双方权利与义务</w:t>
      </w:r>
    </w:p>
    <w:p w14:paraId="714A2AA1">
      <w:pPr>
        <w:keepNext w:val="0"/>
        <w:keepLines w:val="0"/>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 w:val="0"/>
          <w:kern w:val="2"/>
          <w:sz w:val="28"/>
          <w:szCs w:val="28"/>
          <w:highlight w:val="none"/>
          <w:lang w:val="en-US" w:eastAsia="zh-CN" w:bidi="ar-SA"/>
        </w:rPr>
      </w:pPr>
      <w:r>
        <w:rPr>
          <w:rFonts w:hint="eastAsia" w:ascii="仿宋_GB2312" w:hAnsi="仿宋_GB2312" w:eastAsia="仿宋_GB2312" w:cs="仿宋_GB2312"/>
          <w:b w:val="0"/>
          <w:kern w:val="2"/>
          <w:sz w:val="28"/>
          <w:szCs w:val="28"/>
          <w:highlight w:val="none"/>
          <w:lang w:val="en-US" w:eastAsia="zh-CN" w:bidi="ar-SA"/>
        </w:rPr>
        <w:t>（一）甲方权利与义务</w:t>
      </w:r>
    </w:p>
    <w:p w14:paraId="2B11C99A">
      <w:pPr>
        <w:keepNext w:val="0"/>
        <w:keepLines w:val="0"/>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 w:val="0"/>
          <w:kern w:val="2"/>
          <w:sz w:val="28"/>
          <w:szCs w:val="28"/>
          <w:highlight w:val="none"/>
          <w:lang w:val="en-US" w:eastAsia="zh-CN" w:bidi="ar-SA"/>
        </w:rPr>
      </w:pPr>
      <w:r>
        <w:rPr>
          <w:rFonts w:hint="eastAsia" w:ascii="仿宋_GB2312" w:hAnsi="仿宋_GB2312" w:eastAsia="仿宋_GB2312" w:cs="仿宋_GB2312"/>
          <w:b w:val="0"/>
          <w:kern w:val="2"/>
          <w:sz w:val="28"/>
          <w:szCs w:val="28"/>
          <w:highlight w:val="none"/>
          <w:lang w:val="en-US" w:eastAsia="zh-CN" w:bidi="ar-SA"/>
        </w:rPr>
        <w:t>1.对乙方进行安全教育宣讲，要求乙方按照甲方的环境管理体系文件、质量体系文件、职业健康安全体系文件组织施工。</w:t>
      </w:r>
    </w:p>
    <w:p w14:paraId="2E4D24B5">
      <w:pPr>
        <w:keepNext w:val="0"/>
        <w:keepLines w:val="0"/>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 w:val="0"/>
          <w:kern w:val="2"/>
          <w:sz w:val="28"/>
          <w:szCs w:val="28"/>
          <w:highlight w:val="none"/>
          <w:lang w:val="en-US" w:eastAsia="zh-CN" w:bidi="ar-SA"/>
        </w:rPr>
      </w:pPr>
      <w:r>
        <w:rPr>
          <w:rFonts w:hint="eastAsia" w:ascii="仿宋_GB2312" w:hAnsi="仿宋_GB2312" w:eastAsia="仿宋_GB2312" w:cs="仿宋_GB2312"/>
          <w:b w:val="0"/>
          <w:kern w:val="2"/>
          <w:sz w:val="28"/>
          <w:szCs w:val="28"/>
          <w:highlight w:val="none"/>
          <w:lang w:val="en-US" w:eastAsia="zh-CN" w:bidi="ar-SA"/>
        </w:rPr>
        <w:t>2.负责对乙方工作的检查、指导、监督及验收，对不合格的工作提出明确整改或返工要求。</w:t>
      </w:r>
    </w:p>
    <w:p w14:paraId="5488DF04">
      <w:pPr>
        <w:keepNext w:val="0"/>
        <w:keepLines w:val="0"/>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 w:val="0"/>
          <w:kern w:val="2"/>
          <w:sz w:val="28"/>
          <w:szCs w:val="28"/>
          <w:highlight w:val="none"/>
          <w:lang w:val="en-US" w:eastAsia="zh-CN" w:bidi="ar-SA"/>
        </w:rPr>
      </w:pPr>
      <w:r>
        <w:rPr>
          <w:rFonts w:hint="eastAsia" w:ascii="仿宋_GB2312" w:hAnsi="仿宋_GB2312" w:eastAsia="仿宋_GB2312" w:cs="仿宋_GB2312"/>
          <w:b w:val="0"/>
          <w:kern w:val="2"/>
          <w:sz w:val="28"/>
          <w:szCs w:val="28"/>
          <w:highlight w:val="none"/>
          <w:lang w:val="en-US" w:eastAsia="zh-CN" w:bidi="ar-SA"/>
        </w:rPr>
        <w:t>3.技术服务工作开展前，为乙方提供环境影响评价等相关资料。</w:t>
      </w:r>
    </w:p>
    <w:p w14:paraId="339FEAA3">
      <w:pPr>
        <w:keepNext w:val="0"/>
        <w:keepLines w:val="0"/>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 w:val="0"/>
          <w:kern w:val="2"/>
          <w:sz w:val="28"/>
          <w:szCs w:val="28"/>
          <w:highlight w:val="none"/>
          <w:lang w:val="en-US" w:eastAsia="zh-CN" w:bidi="ar-SA"/>
        </w:rPr>
      </w:pPr>
      <w:r>
        <w:rPr>
          <w:rFonts w:hint="eastAsia" w:ascii="仿宋_GB2312" w:hAnsi="仿宋_GB2312" w:eastAsia="仿宋_GB2312" w:cs="仿宋_GB2312"/>
          <w:b w:val="0"/>
          <w:kern w:val="2"/>
          <w:sz w:val="28"/>
          <w:szCs w:val="28"/>
          <w:highlight w:val="none"/>
          <w:lang w:val="en-US" w:eastAsia="zh-CN" w:bidi="ar-SA"/>
        </w:rPr>
        <w:t>4.配合乙方开展现场调查与评估。</w:t>
      </w:r>
    </w:p>
    <w:p w14:paraId="4E5B005A">
      <w:pPr>
        <w:keepNext w:val="0"/>
        <w:keepLines w:val="0"/>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 w:val="0"/>
          <w:kern w:val="2"/>
          <w:sz w:val="28"/>
          <w:szCs w:val="28"/>
          <w:highlight w:val="none"/>
          <w:lang w:val="en-US" w:eastAsia="zh-CN" w:bidi="ar-SA"/>
        </w:rPr>
      </w:pPr>
      <w:r>
        <w:rPr>
          <w:rFonts w:hint="eastAsia" w:ascii="仿宋_GB2312" w:hAnsi="仿宋_GB2312" w:eastAsia="仿宋_GB2312" w:cs="仿宋_GB2312"/>
          <w:b w:val="0"/>
          <w:kern w:val="2"/>
          <w:sz w:val="28"/>
          <w:szCs w:val="28"/>
          <w:highlight w:val="none"/>
          <w:lang w:val="en-US" w:eastAsia="zh-CN" w:bidi="ar-SA"/>
        </w:rPr>
        <w:t>5.如实提供与项目环保竣工验收调查报告编制工作及乙方现场勘探相关的所需资料。</w:t>
      </w:r>
    </w:p>
    <w:p w14:paraId="7FC502C5">
      <w:pPr>
        <w:keepNext w:val="0"/>
        <w:keepLines w:val="0"/>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 w:val="0"/>
          <w:kern w:val="2"/>
          <w:sz w:val="28"/>
          <w:szCs w:val="28"/>
          <w:highlight w:val="none"/>
          <w:lang w:val="en-US" w:eastAsia="zh-CN" w:bidi="ar-SA"/>
        </w:rPr>
      </w:pPr>
      <w:r>
        <w:rPr>
          <w:rFonts w:hint="eastAsia" w:ascii="仿宋_GB2312" w:hAnsi="仿宋_GB2312" w:eastAsia="仿宋_GB2312" w:cs="仿宋_GB2312"/>
          <w:b w:val="0"/>
          <w:kern w:val="2"/>
          <w:sz w:val="28"/>
          <w:szCs w:val="28"/>
          <w:highlight w:val="none"/>
          <w:lang w:val="en-US" w:eastAsia="zh-CN" w:bidi="ar-SA"/>
        </w:rPr>
        <w:t>6.提供咨询期间乙方人员在甲方的办公场所、培训场所及相关设备、设施。</w:t>
      </w:r>
    </w:p>
    <w:p w14:paraId="31D23316">
      <w:pPr>
        <w:keepNext w:val="0"/>
        <w:keepLines w:val="0"/>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 w:val="0"/>
          <w:kern w:val="2"/>
          <w:sz w:val="28"/>
          <w:szCs w:val="28"/>
          <w:highlight w:val="none"/>
          <w:lang w:val="en-US" w:eastAsia="zh-CN" w:bidi="ar-SA"/>
        </w:rPr>
      </w:pPr>
      <w:r>
        <w:rPr>
          <w:rFonts w:hint="eastAsia" w:ascii="仿宋_GB2312" w:hAnsi="仿宋_GB2312" w:eastAsia="仿宋_GB2312" w:cs="仿宋_GB2312"/>
          <w:b w:val="0"/>
          <w:kern w:val="2"/>
          <w:sz w:val="28"/>
          <w:szCs w:val="28"/>
          <w:highlight w:val="none"/>
          <w:lang w:val="en-US" w:eastAsia="zh-CN" w:bidi="ar-SA"/>
        </w:rPr>
        <w:t>7.根据合同按时向乙方支付咨询费用。</w:t>
      </w:r>
    </w:p>
    <w:p w14:paraId="54A020B4">
      <w:pPr>
        <w:keepNext w:val="0"/>
        <w:keepLines w:val="0"/>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 w:val="0"/>
          <w:kern w:val="2"/>
          <w:sz w:val="28"/>
          <w:szCs w:val="28"/>
          <w:highlight w:val="none"/>
          <w:lang w:val="en-US" w:eastAsia="zh-CN" w:bidi="ar-SA"/>
        </w:rPr>
      </w:pPr>
      <w:r>
        <w:rPr>
          <w:rFonts w:hint="eastAsia" w:ascii="仿宋_GB2312" w:hAnsi="仿宋_GB2312" w:eastAsia="仿宋_GB2312" w:cs="仿宋_GB2312"/>
          <w:b w:val="0"/>
          <w:kern w:val="2"/>
          <w:sz w:val="28"/>
          <w:szCs w:val="28"/>
          <w:highlight w:val="none"/>
          <w:lang w:val="en-US" w:eastAsia="zh-CN" w:bidi="ar-SA"/>
        </w:rPr>
        <w:t>（二）乙方权利与义务</w:t>
      </w:r>
    </w:p>
    <w:p w14:paraId="507F323A">
      <w:pPr>
        <w:keepNext w:val="0"/>
        <w:keepLines w:val="0"/>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 w:val="0"/>
          <w:kern w:val="2"/>
          <w:sz w:val="28"/>
          <w:szCs w:val="28"/>
          <w:highlight w:val="none"/>
          <w:lang w:val="en-US" w:eastAsia="zh-CN" w:bidi="ar-SA"/>
        </w:rPr>
      </w:pPr>
      <w:r>
        <w:rPr>
          <w:rFonts w:hint="eastAsia" w:ascii="仿宋_GB2312" w:hAnsi="仿宋_GB2312" w:eastAsia="仿宋_GB2312" w:cs="仿宋_GB2312"/>
          <w:b w:val="0"/>
          <w:kern w:val="2"/>
          <w:sz w:val="28"/>
          <w:szCs w:val="28"/>
          <w:highlight w:val="none"/>
          <w:lang w:val="en-US" w:eastAsia="zh-CN" w:bidi="ar-SA"/>
        </w:rPr>
        <w:t>1.遵守并接受甲方对各项工作的检查、指导、监督及验收。</w:t>
      </w:r>
    </w:p>
    <w:p w14:paraId="49230659">
      <w:pPr>
        <w:keepNext w:val="0"/>
        <w:keepLines w:val="0"/>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 w:val="0"/>
          <w:kern w:val="2"/>
          <w:sz w:val="28"/>
          <w:szCs w:val="28"/>
          <w:highlight w:val="none"/>
          <w:lang w:val="en-US" w:eastAsia="zh-CN" w:bidi="ar-SA"/>
        </w:rPr>
      </w:pPr>
      <w:r>
        <w:rPr>
          <w:rFonts w:hint="eastAsia" w:ascii="仿宋_GB2312" w:hAnsi="仿宋_GB2312" w:eastAsia="仿宋_GB2312" w:cs="仿宋_GB2312"/>
          <w:b w:val="0"/>
          <w:kern w:val="2"/>
          <w:sz w:val="28"/>
          <w:szCs w:val="28"/>
          <w:highlight w:val="none"/>
          <w:lang w:val="en-US" w:eastAsia="zh-CN" w:bidi="ar-SA"/>
        </w:rPr>
        <w:t>2.根据甲方要求设立完善的、服从甲方生产指挥的管理组织管理机构。</w:t>
      </w:r>
    </w:p>
    <w:p w14:paraId="4061C2AF">
      <w:pPr>
        <w:keepNext w:val="0"/>
        <w:keepLines w:val="0"/>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 w:val="0"/>
          <w:kern w:val="2"/>
          <w:sz w:val="28"/>
          <w:szCs w:val="28"/>
          <w:highlight w:val="none"/>
          <w:lang w:val="en-US" w:eastAsia="zh-CN" w:bidi="ar-SA"/>
        </w:rPr>
      </w:pPr>
      <w:r>
        <w:rPr>
          <w:rFonts w:hint="eastAsia" w:ascii="仿宋_GB2312" w:hAnsi="仿宋_GB2312" w:eastAsia="仿宋_GB2312" w:cs="仿宋_GB2312"/>
          <w:b w:val="0"/>
          <w:kern w:val="2"/>
          <w:sz w:val="28"/>
          <w:szCs w:val="28"/>
          <w:highlight w:val="none"/>
          <w:lang w:val="en-US" w:eastAsia="zh-CN" w:bidi="ar-SA"/>
        </w:rPr>
        <w:t>3、应选派称职的、满足技术服务要求的专职评价调查验收人员负责开展项目验收技术服务工作</w:t>
      </w:r>
    </w:p>
    <w:p w14:paraId="76CCA469">
      <w:pPr>
        <w:keepNext w:val="0"/>
        <w:keepLines w:val="0"/>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 w:val="0"/>
          <w:kern w:val="2"/>
          <w:sz w:val="28"/>
          <w:szCs w:val="28"/>
          <w:highlight w:val="none"/>
          <w:lang w:val="en-US" w:eastAsia="zh-CN" w:bidi="ar-SA"/>
        </w:rPr>
      </w:pPr>
      <w:r>
        <w:rPr>
          <w:rFonts w:hint="eastAsia" w:ascii="仿宋_GB2312" w:hAnsi="仿宋_GB2312" w:eastAsia="仿宋_GB2312" w:cs="仿宋_GB2312"/>
          <w:b w:val="0"/>
          <w:kern w:val="2"/>
          <w:sz w:val="28"/>
          <w:szCs w:val="28"/>
          <w:highlight w:val="none"/>
          <w:lang w:val="en-US" w:eastAsia="zh-CN" w:bidi="ar-SA"/>
        </w:rPr>
        <w:t>4、编制的项目环保竣工验收调查报告内容应完整，格式规范，符合国家法律法规及行业规范，符合环境影响评价技术导则要求，满足甲方上报审批的需要；</w:t>
      </w:r>
    </w:p>
    <w:p w14:paraId="19B4F78D">
      <w:pPr>
        <w:keepNext w:val="0"/>
        <w:keepLines w:val="0"/>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 w:val="0"/>
          <w:kern w:val="2"/>
          <w:sz w:val="28"/>
          <w:szCs w:val="28"/>
          <w:highlight w:val="none"/>
          <w:lang w:val="en-US" w:eastAsia="zh-CN" w:bidi="ar-SA"/>
        </w:rPr>
      </w:pPr>
      <w:r>
        <w:rPr>
          <w:rFonts w:hint="eastAsia" w:ascii="仿宋_GB2312" w:hAnsi="仿宋_GB2312" w:eastAsia="仿宋_GB2312" w:cs="仿宋_GB2312"/>
          <w:b w:val="0"/>
          <w:kern w:val="2"/>
          <w:sz w:val="28"/>
          <w:szCs w:val="28"/>
          <w:highlight w:val="none"/>
          <w:lang w:val="en-US" w:eastAsia="zh-CN" w:bidi="ar-SA"/>
        </w:rPr>
        <w:t>5.因乙方责任造成的设备损坏及人身事故均由乙方负责。</w:t>
      </w:r>
    </w:p>
    <w:p w14:paraId="33E14207">
      <w:pPr>
        <w:keepNext w:val="0"/>
        <w:keepLines w:val="0"/>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 w:val="0"/>
          <w:kern w:val="2"/>
          <w:sz w:val="28"/>
          <w:szCs w:val="28"/>
          <w:highlight w:val="none"/>
          <w:lang w:val="en-US" w:eastAsia="zh-CN" w:bidi="ar-SA"/>
        </w:rPr>
      </w:pPr>
      <w:r>
        <w:rPr>
          <w:rFonts w:hint="eastAsia" w:ascii="仿宋_GB2312" w:hAnsi="仿宋_GB2312" w:eastAsia="仿宋_GB2312" w:cs="仿宋_GB2312"/>
          <w:b w:val="0"/>
          <w:kern w:val="2"/>
          <w:sz w:val="28"/>
          <w:szCs w:val="28"/>
          <w:highlight w:val="none"/>
          <w:lang w:val="en-US" w:eastAsia="zh-CN" w:bidi="ar-SA"/>
        </w:rPr>
        <w:t>6.应按本协议约定内容，保证正常的工作进度，按时完成所有的工作并按期提交最终成果报告，报告内容必须真实、准确、规范，与本项目的实际情况相符，不得弄虚作假。</w:t>
      </w:r>
    </w:p>
    <w:p w14:paraId="74CDAD71">
      <w:pPr>
        <w:keepNext w:val="0"/>
        <w:keepLines w:val="0"/>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 w:val="0"/>
          <w:kern w:val="2"/>
          <w:sz w:val="28"/>
          <w:szCs w:val="28"/>
          <w:highlight w:val="none"/>
          <w:lang w:val="en-US" w:eastAsia="zh-CN" w:bidi="ar-SA"/>
        </w:rPr>
      </w:pPr>
      <w:r>
        <w:rPr>
          <w:rFonts w:hint="eastAsia" w:ascii="仿宋_GB2312" w:hAnsi="仿宋_GB2312" w:eastAsia="仿宋_GB2312" w:cs="仿宋_GB2312"/>
          <w:b w:val="0"/>
          <w:kern w:val="2"/>
          <w:sz w:val="28"/>
          <w:szCs w:val="28"/>
          <w:highlight w:val="none"/>
          <w:lang w:val="en-US" w:eastAsia="zh-CN" w:bidi="ar-SA"/>
        </w:rPr>
        <w:t>7.负责《项目环保竣工验收调查报告》技术审查时的答疑及补充，修改《项目环保竣工验收调查报告》工作；负责项目验收检测内容，出具的检测报告必须具有CMA签章</w:t>
      </w:r>
    </w:p>
    <w:p w14:paraId="4750D718">
      <w:pPr>
        <w:keepNext w:val="0"/>
        <w:keepLines w:val="0"/>
        <w:pageBreakBefore w:val="0"/>
        <w:kinsoku/>
        <w:wordWrap/>
        <w:overflowPunct/>
        <w:topLinePunct w:val="0"/>
        <w:autoSpaceDE/>
        <w:autoSpaceDN/>
        <w:bidi w:val="0"/>
        <w:spacing w:line="560" w:lineRule="exact"/>
        <w:ind w:firstLine="560" w:firstLineChars="200"/>
        <w:textAlignment w:val="auto"/>
        <w:rPr>
          <w:rFonts w:hint="eastAsia" w:ascii="宋体" w:hAnsi="宋体" w:eastAsia="宋体" w:cs="宋体"/>
          <w:b w:val="0"/>
          <w:color w:val="auto"/>
          <w:sz w:val="24"/>
          <w:szCs w:val="24"/>
          <w:highlight w:val="none"/>
          <w:lang w:val="en-US" w:eastAsia="zh-CN"/>
        </w:rPr>
      </w:pPr>
      <w:r>
        <w:rPr>
          <w:rFonts w:hint="eastAsia" w:ascii="仿宋_GB2312" w:hAnsi="仿宋_GB2312" w:eastAsia="仿宋_GB2312" w:cs="仿宋_GB2312"/>
          <w:b w:val="0"/>
          <w:kern w:val="2"/>
          <w:sz w:val="28"/>
          <w:szCs w:val="28"/>
          <w:highlight w:val="none"/>
          <w:lang w:val="en-US" w:eastAsia="zh-CN" w:bidi="ar-SA"/>
        </w:rPr>
        <w:t>8.乙方向甲方承诺，按照本合同的约定，承担本合同项目环保竣工验收调查报告范围内和通用条款中约定技术咨询服务内容，履行义务并承担相应的责任,提交的工作成果必须符合国家有关行政主管部门的规定格式、质量等要求，满足技术审查的需求。</w:t>
      </w:r>
    </w:p>
    <w:p w14:paraId="222197C3">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outlineLvl w:val="0"/>
        <w:rPr>
          <w:rFonts w:hint="eastAsia" w:ascii="仿宋_GB2312" w:hAnsi="仿宋_GB2312" w:eastAsia="仿宋_GB2312" w:cs="仿宋_GB2312"/>
          <w:b/>
          <w:bCs/>
          <w:color w:val="auto"/>
          <w:sz w:val="28"/>
          <w:szCs w:val="28"/>
          <w:highlight w:val="none"/>
          <w:lang w:eastAsia="zh-CN"/>
        </w:rPr>
      </w:pPr>
      <w:bookmarkStart w:id="12" w:name="_Toc10475"/>
      <w:bookmarkStart w:id="13" w:name="_Toc15328"/>
      <w:bookmarkStart w:id="14" w:name="_Toc21071"/>
      <w:bookmarkStart w:id="15" w:name="_Toc7142"/>
      <w:r>
        <w:rPr>
          <w:rFonts w:hint="eastAsia" w:ascii="仿宋_GB2312" w:hAnsi="仿宋_GB2312" w:eastAsia="仿宋_GB2312" w:cs="仿宋_GB2312"/>
          <w:b/>
          <w:bCs/>
          <w:color w:val="auto"/>
          <w:sz w:val="28"/>
          <w:szCs w:val="28"/>
          <w:highlight w:val="none"/>
          <w:lang w:eastAsia="zh-CN"/>
        </w:rPr>
        <w:t>七</w:t>
      </w:r>
      <w:r>
        <w:rPr>
          <w:rFonts w:hint="eastAsia" w:ascii="仿宋_GB2312" w:hAnsi="仿宋_GB2312" w:eastAsia="仿宋_GB2312" w:cs="仿宋_GB2312"/>
          <w:b/>
          <w:bCs/>
          <w:color w:val="auto"/>
          <w:sz w:val="28"/>
          <w:szCs w:val="28"/>
          <w:highlight w:val="none"/>
          <w:lang w:val="en-US" w:eastAsia="zh-CN"/>
        </w:rPr>
        <w:t>、</w:t>
      </w:r>
      <w:r>
        <w:rPr>
          <w:rFonts w:hint="eastAsia" w:ascii="仿宋_GB2312" w:hAnsi="仿宋_GB2312" w:eastAsia="仿宋_GB2312" w:cs="仿宋_GB2312"/>
          <w:b/>
          <w:bCs/>
          <w:color w:val="auto"/>
          <w:sz w:val="28"/>
          <w:szCs w:val="28"/>
          <w:highlight w:val="none"/>
          <w:lang w:eastAsia="zh-CN"/>
        </w:rPr>
        <w:t>保密条款</w:t>
      </w:r>
      <w:bookmarkEnd w:id="12"/>
      <w:bookmarkEnd w:id="13"/>
      <w:bookmarkEnd w:id="14"/>
      <w:bookmarkEnd w:id="15"/>
      <w:bookmarkStart w:id="16" w:name="_Toc14385"/>
    </w:p>
    <w:p w14:paraId="01B658DC">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outlineLvl w:val="0"/>
        <w:rPr>
          <w:rFonts w:hint="eastAsia" w:ascii="仿宋_GB2312" w:hAnsi="仿宋_GB2312" w:eastAsia="仿宋_GB2312" w:cs="仿宋_GB2312"/>
          <w:sz w:val="28"/>
          <w:szCs w:val="28"/>
          <w:highlight w:val="none"/>
        </w:rPr>
      </w:pPr>
      <w:bookmarkStart w:id="17" w:name="_Toc22140"/>
      <w:bookmarkStart w:id="18" w:name="_Toc1538"/>
      <w:bookmarkStart w:id="19" w:name="_Toc2971"/>
      <w:r>
        <w:rPr>
          <w:rFonts w:hint="eastAsia" w:ascii="仿宋_GB2312" w:hAnsi="仿宋_GB2312" w:eastAsia="仿宋_GB2312" w:cs="仿宋_GB2312"/>
          <w:sz w:val="28"/>
          <w:szCs w:val="28"/>
          <w:highlight w:val="none"/>
          <w:lang w:val="en-US" w:eastAsia="zh-CN"/>
        </w:rPr>
        <w:t>7</w:t>
      </w:r>
      <w:r>
        <w:rPr>
          <w:rFonts w:hint="eastAsia" w:ascii="仿宋_GB2312" w:hAnsi="仿宋_GB2312" w:eastAsia="仿宋_GB2312" w:cs="仿宋_GB2312"/>
          <w:sz w:val="28"/>
          <w:szCs w:val="28"/>
          <w:highlight w:val="none"/>
        </w:rPr>
        <w:t>.1 保密内容：</w:t>
      </w:r>
      <w:r>
        <w:rPr>
          <w:rFonts w:hint="eastAsia" w:ascii="仿宋_GB2312" w:hAnsi="仿宋_GB2312" w:eastAsia="仿宋_GB2312" w:cs="仿宋_GB2312"/>
          <w:sz w:val="28"/>
          <w:szCs w:val="28"/>
          <w:highlight w:val="none"/>
          <w:lang w:eastAsia="zh-CN"/>
        </w:rPr>
        <w:t>甲方提供的与</w:t>
      </w:r>
      <w:r>
        <w:rPr>
          <w:rFonts w:hint="eastAsia" w:ascii="仿宋_GB2312" w:hAnsi="仿宋_GB2312" w:eastAsia="仿宋_GB2312" w:cs="仿宋_GB2312"/>
          <w:sz w:val="28"/>
          <w:szCs w:val="28"/>
          <w:highlight w:val="none"/>
        </w:rPr>
        <w:t>本项目相关的技术资料和研究成果。</w:t>
      </w:r>
      <w:bookmarkEnd w:id="16"/>
      <w:bookmarkEnd w:id="17"/>
      <w:bookmarkEnd w:id="18"/>
      <w:bookmarkEnd w:id="19"/>
      <w:bookmarkStart w:id="20" w:name="_Toc5088"/>
    </w:p>
    <w:p w14:paraId="6B7D9BBD">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outlineLvl w:val="0"/>
        <w:rPr>
          <w:rFonts w:hint="eastAsia" w:ascii="仿宋_GB2312" w:hAnsi="仿宋_GB2312" w:eastAsia="仿宋_GB2312" w:cs="仿宋_GB2312"/>
          <w:sz w:val="28"/>
          <w:szCs w:val="28"/>
          <w:highlight w:val="none"/>
        </w:rPr>
      </w:pPr>
      <w:bookmarkStart w:id="21" w:name="_Toc28752"/>
      <w:bookmarkStart w:id="22" w:name="_Toc21842"/>
      <w:bookmarkStart w:id="23" w:name="_Toc25605"/>
      <w:r>
        <w:rPr>
          <w:rFonts w:hint="eastAsia" w:ascii="仿宋_GB2312" w:hAnsi="仿宋_GB2312" w:eastAsia="仿宋_GB2312" w:cs="仿宋_GB2312"/>
          <w:sz w:val="28"/>
          <w:szCs w:val="28"/>
          <w:highlight w:val="none"/>
          <w:lang w:val="en-US" w:eastAsia="zh-CN"/>
        </w:rPr>
        <w:t>7</w:t>
      </w:r>
      <w:r>
        <w:rPr>
          <w:rFonts w:hint="eastAsia" w:ascii="仿宋_GB2312" w:hAnsi="仿宋_GB2312" w:eastAsia="仿宋_GB2312" w:cs="仿宋_GB2312"/>
          <w:sz w:val="28"/>
          <w:szCs w:val="28"/>
          <w:highlight w:val="none"/>
        </w:rPr>
        <w:t>.2 保密范围：本项目涉及的范围。</w:t>
      </w:r>
      <w:bookmarkEnd w:id="20"/>
      <w:bookmarkEnd w:id="21"/>
      <w:bookmarkEnd w:id="22"/>
      <w:bookmarkEnd w:id="23"/>
      <w:bookmarkStart w:id="24" w:name="_Toc5392"/>
    </w:p>
    <w:p w14:paraId="62B6143B">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outlineLvl w:val="0"/>
        <w:rPr>
          <w:rFonts w:hint="eastAsia" w:ascii="仿宋_GB2312" w:hAnsi="仿宋_GB2312" w:eastAsia="仿宋_GB2312" w:cs="仿宋_GB2312"/>
          <w:sz w:val="28"/>
          <w:szCs w:val="28"/>
          <w:highlight w:val="none"/>
        </w:rPr>
      </w:pPr>
      <w:bookmarkStart w:id="25" w:name="_Toc27328"/>
      <w:bookmarkStart w:id="26" w:name="_Toc17324"/>
      <w:bookmarkStart w:id="27" w:name="_Toc7272"/>
      <w:r>
        <w:rPr>
          <w:rFonts w:hint="eastAsia" w:ascii="仿宋_GB2312" w:hAnsi="仿宋_GB2312" w:eastAsia="仿宋_GB2312" w:cs="仿宋_GB2312"/>
          <w:sz w:val="28"/>
          <w:szCs w:val="28"/>
          <w:highlight w:val="none"/>
          <w:lang w:val="en-US" w:eastAsia="zh-CN"/>
        </w:rPr>
        <w:t>7</w:t>
      </w:r>
      <w:r>
        <w:rPr>
          <w:rFonts w:hint="eastAsia" w:ascii="仿宋_GB2312" w:hAnsi="仿宋_GB2312" w:eastAsia="仿宋_GB2312" w:cs="仿宋_GB2312"/>
          <w:sz w:val="28"/>
          <w:szCs w:val="28"/>
          <w:highlight w:val="none"/>
        </w:rPr>
        <w:t>.3 涉密人员：</w:t>
      </w:r>
      <w:r>
        <w:rPr>
          <w:rFonts w:hint="eastAsia" w:ascii="仿宋_GB2312" w:hAnsi="仿宋_GB2312" w:eastAsia="仿宋_GB2312" w:cs="仿宋_GB2312"/>
          <w:sz w:val="28"/>
          <w:szCs w:val="28"/>
          <w:highlight w:val="none"/>
          <w:lang w:eastAsia="zh-CN"/>
        </w:rPr>
        <w:t>乙方</w:t>
      </w:r>
      <w:r>
        <w:rPr>
          <w:rFonts w:hint="eastAsia" w:ascii="仿宋_GB2312" w:hAnsi="仿宋_GB2312" w:eastAsia="仿宋_GB2312" w:cs="仿宋_GB2312"/>
          <w:sz w:val="28"/>
          <w:szCs w:val="28"/>
          <w:highlight w:val="none"/>
        </w:rPr>
        <w:t>接触保密信息的相关人员。</w:t>
      </w:r>
      <w:bookmarkEnd w:id="24"/>
      <w:bookmarkEnd w:id="25"/>
      <w:bookmarkEnd w:id="26"/>
      <w:bookmarkEnd w:id="27"/>
      <w:bookmarkStart w:id="28" w:name="_Toc8952"/>
    </w:p>
    <w:p w14:paraId="6F17D83B">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outlineLvl w:val="0"/>
        <w:rPr>
          <w:rFonts w:hint="eastAsia" w:ascii="仿宋_GB2312" w:hAnsi="仿宋_GB2312" w:eastAsia="仿宋_GB2312" w:cs="仿宋_GB2312"/>
          <w:sz w:val="28"/>
          <w:szCs w:val="28"/>
          <w:highlight w:val="none"/>
        </w:rPr>
      </w:pPr>
      <w:bookmarkStart w:id="29" w:name="_Toc11684"/>
      <w:bookmarkStart w:id="30" w:name="_Toc979"/>
      <w:bookmarkStart w:id="31" w:name="_Toc12056"/>
      <w:r>
        <w:rPr>
          <w:rFonts w:hint="eastAsia" w:ascii="仿宋_GB2312" w:hAnsi="仿宋_GB2312" w:eastAsia="仿宋_GB2312" w:cs="仿宋_GB2312"/>
          <w:sz w:val="28"/>
          <w:szCs w:val="28"/>
          <w:highlight w:val="none"/>
          <w:lang w:val="en-US" w:eastAsia="zh-CN"/>
        </w:rPr>
        <w:t>7</w:t>
      </w:r>
      <w:r>
        <w:rPr>
          <w:rFonts w:hint="eastAsia" w:ascii="仿宋_GB2312" w:hAnsi="仿宋_GB2312" w:eastAsia="仿宋_GB2312" w:cs="仿宋_GB2312"/>
          <w:sz w:val="28"/>
          <w:szCs w:val="28"/>
          <w:highlight w:val="none"/>
        </w:rPr>
        <w:t xml:space="preserve">.4 </w:t>
      </w:r>
      <w:bookmarkEnd w:id="28"/>
      <w:r>
        <w:rPr>
          <w:rFonts w:hint="eastAsia" w:ascii="仿宋_GB2312" w:hAnsi="仿宋_GB2312" w:eastAsia="仿宋_GB2312" w:cs="仿宋_GB2312"/>
          <w:sz w:val="28"/>
          <w:szCs w:val="28"/>
          <w:highlight w:val="none"/>
        </w:rPr>
        <w:t>除法律规定或合同另有约定外，未经发包人</w:t>
      </w:r>
      <w:r>
        <w:rPr>
          <w:rFonts w:hint="eastAsia" w:ascii="仿宋_GB2312" w:hAnsi="仿宋_GB2312" w:eastAsia="仿宋_GB2312" w:cs="仿宋_GB2312"/>
          <w:sz w:val="28"/>
          <w:szCs w:val="28"/>
          <w:highlight w:val="none"/>
          <w:lang w:val="en-US" w:eastAsia="zh-CN"/>
        </w:rPr>
        <w:t>书面</w:t>
      </w:r>
      <w:r>
        <w:rPr>
          <w:rFonts w:hint="eastAsia" w:ascii="仿宋_GB2312" w:hAnsi="仿宋_GB2312" w:eastAsia="仿宋_GB2312" w:cs="仿宋_GB2312"/>
          <w:sz w:val="28"/>
          <w:szCs w:val="28"/>
          <w:highlight w:val="none"/>
        </w:rPr>
        <w:t>同意，承包人不得将发包人提供的图纸、文件以及声明需要保密的资料信息等商业秘密泄露给第三方。</w:t>
      </w:r>
      <w:bookmarkEnd w:id="29"/>
      <w:bookmarkEnd w:id="30"/>
      <w:bookmarkEnd w:id="31"/>
    </w:p>
    <w:p w14:paraId="43DB1ADD">
      <w:pPr>
        <w:widowControl/>
        <w:spacing w:line="360" w:lineRule="auto"/>
        <w:ind w:firstLine="562" w:firstLineChars="200"/>
        <w:jc w:val="left"/>
        <w:rPr>
          <w:rFonts w:hint="eastAsia" w:ascii="仿宋_GB2312" w:hAnsi="仿宋_GB2312" w:eastAsia="仿宋_GB2312" w:cs="仿宋_GB2312"/>
          <w:b/>
          <w:sz w:val="28"/>
          <w:szCs w:val="28"/>
        </w:rPr>
      </w:pPr>
      <w:r>
        <w:rPr>
          <w:rFonts w:hint="eastAsia" w:ascii="仿宋_GB2312" w:hAnsi="仿宋_GB2312" w:eastAsia="仿宋_GB2312" w:cs="仿宋_GB2312"/>
          <w:b/>
          <w:color w:val="333333"/>
          <w:kern w:val="0"/>
          <w:sz w:val="28"/>
          <w:szCs w:val="28"/>
          <w:shd w:val="clear" w:color="auto" w:fill="FFFFFF"/>
          <w:lang w:val="en-US" w:eastAsia="zh-CN"/>
        </w:rPr>
        <w:t>八</w:t>
      </w:r>
      <w:r>
        <w:rPr>
          <w:rFonts w:hint="eastAsia" w:ascii="仿宋_GB2312" w:hAnsi="仿宋_GB2312" w:eastAsia="仿宋_GB2312" w:cs="仿宋_GB2312"/>
          <w:b/>
          <w:color w:val="333333"/>
          <w:kern w:val="0"/>
          <w:sz w:val="28"/>
          <w:szCs w:val="28"/>
          <w:shd w:val="clear" w:color="auto" w:fill="FFFFFF"/>
        </w:rPr>
        <w:t>、</w:t>
      </w:r>
      <w:r>
        <w:rPr>
          <w:rFonts w:hint="eastAsia" w:ascii="仿宋_GB2312" w:hAnsi="仿宋_GB2312" w:eastAsia="仿宋_GB2312" w:cs="仿宋_GB2312"/>
          <w:b/>
          <w:sz w:val="28"/>
          <w:szCs w:val="28"/>
        </w:rPr>
        <w:t>违约责任</w:t>
      </w:r>
    </w:p>
    <w:p w14:paraId="4C6BD693">
      <w:pPr>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本合同一经签订，即具法律约束力，双方应本着诚实信用原则切实履行，任何一方违反本合同约定，均应承担违约责任：</w:t>
      </w:r>
    </w:p>
    <w:p w14:paraId="0D7F399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b w:val="0"/>
          <w:color w:val="auto"/>
          <w:sz w:val="28"/>
          <w:szCs w:val="28"/>
          <w:highlight w:val="none"/>
          <w:lang w:val="en-US" w:eastAsia="zh-CN"/>
        </w:rPr>
      </w:pPr>
      <w:r>
        <w:rPr>
          <w:rFonts w:hint="eastAsia" w:ascii="仿宋_GB2312" w:hAnsi="仿宋_GB2312" w:eastAsia="仿宋_GB2312" w:cs="仿宋_GB2312"/>
          <w:b w:val="0"/>
          <w:color w:val="auto"/>
          <w:sz w:val="28"/>
          <w:szCs w:val="28"/>
          <w:highlight w:val="none"/>
          <w:lang w:val="en-US" w:eastAsia="zh-CN"/>
        </w:rPr>
        <w:t>7.1 甲、乙任何一方未履行本合同的规定，给对方造成损失的，违约方应负责赔偿对方因此造成的损失。</w:t>
      </w:r>
    </w:p>
    <w:p w14:paraId="02391C1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b w:val="0"/>
          <w:color w:val="auto"/>
          <w:sz w:val="28"/>
          <w:szCs w:val="28"/>
          <w:highlight w:val="none"/>
          <w:lang w:val="en-US" w:eastAsia="zh-CN"/>
        </w:rPr>
      </w:pPr>
      <w:r>
        <w:rPr>
          <w:rFonts w:hint="eastAsia" w:ascii="仿宋_GB2312" w:hAnsi="仿宋_GB2312" w:eastAsia="仿宋_GB2312" w:cs="仿宋_GB2312"/>
          <w:b w:val="0"/>
          <w:color w:val="auto"/>
          <w:sz w:val="28"/>
          <w:szCs w:val="28"/>
          <w:highlight w:val="none"/>
          <w:lang w:val="en-US" w:eastAsia="zh-CN"/>
        </w:rPr>
        <w:t>7.2 乙方未经甲方书面同意，将合同中的权利、义务转让给第三方的，甲方有权解除合同，并由乙方承担违约责任。</w:t>
      </w:r>
    </w:p>
    <w:p w14:paraId="463175D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b w:val="0"/>
          <w:color w:val="auto"/>
          <w:sz w:val="28"/>
          <w:szCs w:val="28"/>
          <w:highlight w:val="none"/>
          <w:lang w:val="en-US" w:eastAsia="zh-CN"/>
        </w:rPr>
      </w:pPr>
      <w:r>
        <w:rPr>
          <w:rFonts w:hint="eastAsia" w:ascii="仿宋_GB2312" w:hAnsi="仿宋_GB2312" w:eastAsia="仿宋_GB2312" w:cs="仿宋_GB2312"/>
          <w:b w:val="0"/>
          <w:color w:val="auto"/>
          <w:sz w:val="28"/>
          <w:szCs w:val="28"/>
          <w:highlight w:val="none"/>
          <w:lang w:val="en-US" w:eastAsia="zh-CN"/>
        </w:rPr>
        <w:t>7.3 乙方服务质量不符合合同规定的要求，应立即更正，甲方根据具体情况及合同规定要求乙方承担违约责任。</w:t>
      </w:r>
    </w:p>
    <w:p w14:paraId="0366108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b w:val="0"/>
          <w:color w:val="auto"/>
          <w:sz w:val="28"/>
          <w:szCs w:val="28"/>
          <w:highlight w:val="none"/>
          <w:lang w:val="en-US" w:eastAsia="zh-CN"/>
        </w:rPr>
      </w:pPr>
      <w:r>
        <w:rPr>
          <w:rFonts w:hint="eastAsia" w:ascii="仿宋_GB2312" w:hAnsi="仿宋_GB2312" w:eastAsia="仿宋_GB2312" w:cs="仿宋_GB2312"/>
          <w:b w:val="0"/>
          <w:color w:val="auto"/>
          <w:sz w:val="28"/>
          <w:szCs w:val="28"/>
          <w:highlight w:val="none"/>
          <w:lang w:val="en-US" w:eastAsia="zh-CN"/>
        </w:rPr>
        <w:t>7.4 乙方原因给甲方造成损失，乙方承担与此有关的直接经济损失。</w:t>
      </w:r>
    </w:p>
    <w:p w14:paraId="7FC7D57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b w:val="0"/>
          <w:color w:val="auto"/>
          <w:sz w:val="28"/>
          <w:szCs w:val="28"/>
          <w:highlight w:val="none"/>
          <w:lang w:val="en-US" w:eastAsia="zh-CN"/>
        </w:rPr>
      </w:pPr>
      <w:r>
        <w:rPr>
          <w:rFonts w:hint="eastAsia" w:ascii="仿宋_GB2312" w:hAnsi="仿宋_GB2312" w:eastAsia="仿宋_GB2312" w:cs="仿宋_GB2312"/>
          <w:b w:val="0"/>
          <w:color w:val="auto"/>
          <w:sz w:val="28"/>
          <w:szCs w:val="28"/>
          <w:highlight w:val="none"/>
          <w:lang w:val="en-US" w:eastAsia="zh-CN"/>
        </w:rPr>
        <w:t>7.5 除双方协议将合同终止，或因一方违约使合同无法履行外，违约方承担上述违约责任后仍应继续履行合同。</w:t>
      </w:r>
    </w:p>
    <w:p w14:paraId="3972E0F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b w:val="0"/>
          <w:color w:val="auto"/>
          <w:sz w:val="28"/>
          <w:szCs w:val="28"/>
          <w:highlight w:val="none"/>
          <w:lang w:val="en-US" w:eastAsia="zh-CN"/>
        </w:rPr>
      </w:pPr>
      <w:r>
        <w:rPr>
          <w:rFonts w:hint="eastAsia" w:ascii="仿宋_GB2312" w:hAnsi="仿宋_GB2312" w:eastAsia="仿宋_GB2312" w:cs="仿宋_GB2312"/>
          <w:b w:val="0"/>
          <w:color w:val="auto"/>
          <w:sz w:val="28"/>
          <w:szCs w:val="28"/>
          <w:highlight w:val="none"/>
          <w:lang w:val="en-US" w:eastAsia="zh-CN"/>
        </w:rPr>
        <w:t>7.6 违约方承担上述违约责任后，仍不能弥补守约方损失的，违约方应继续做出赔偿。</w:t>
      </w:r>
    </w:p>
    <w:p w14:paraId="1EFDC8A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b w:val="0"/>
          <w:color w:val="auto"/>
          <w:sz w:val="28"/>
          <w:szCs w:val="28"/>
          <w:highlight w:val="none"/>
          <w:lang w:val="en-US" w:eastAsia="zh-CN"/>
        </w:rPr>
      </w:pPr>
      <w:r>
        <w:rPr>
          <w:rFonts w:hint="eastAsia" w:ascii="仿宋_GB2312" w:hAnsi="仿宋_GB2312" w:eastAsia="仿宋_GB2312" w:cs="仿宋_GB2312"/>
          <w:b w:val="0"/>
          <w:color w:val="auto"/>
          <w:sz w:val="28"/>
          <w:szCs w:val="28"/>
          <w:highlight w:val="none"/>
          <w:lang w:val="en-US" w:eastAsia="zh-CN"/>
        </w:rPr>
        <w:t>7.7 因乙方编制报告内容不符合甲方现场实际或不满足相关部门审查要求给甲方造成的各项经济损失及相关处罚由乙方承担全部责任，且乙方必须无条件对报告内容进行修正。</w:t>
      </w:r>
    </w:p>
    <w:p w14:paraId="4B62E44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b w:val="0"/>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 xml:space="preserve">7.8 </w:t>
      </w:r>
      <w:r>
        <w:rPr>
          <w:rFonts w:hint="eastAsia" w:ascii="仿宋_GB2312" w:hAnsi="仿宋_GB2312" w:eastAsia="仿宋_GB2312" w:cs="仿宋_GB2312"/>
          <w:color w:val="auto"/>
          <w:sz w:val="28"/>
          <w:szCs w:val="28"/>
          <w:highlight w:val="none"/>
        </w:rPr>
        <w:t>乙方所交付服务不符合本合同规定的，甲方有权拒收，乙方在得到甲方通知之日起</w:t>
      </w:r>
      <w:r>
        <w:rPr>
          <w:rFonts w:hint="eastAsia" w:ascii="仿宋_GB2312" w:hAnsi="仿宋_GB2312" w:eastAsia="仿宋_GB2312" w:cs="仿宋_GB2312"/>
          <w:color w:val="auto"/>
          <w:sz w:val="28"/>
          <w:szCs w:val="28"/>
          <w:highlight w:val="none"/>
          <w:u w:val="none"/>
          <w:lang w:eastAsia="zh-CN"/>
        </w:rPr>
        <w:t>3</w:t>
      </w:r>
      <w:r>
        <w:rPr>
          <w:rFonts w:hint="eastAsia" w:ascii="仿宋_GB2312" w:hAnsi="仿宋_GB2312" w:eastAsia="仿宋_GB2312" w:cs="仿宋_GB2312"/>
          <w:color w:val="auto"/>
          <w:sz w:val="28"/>
          <w:szCs w:val="28"/>
          <w:highlight w:val="none"/>
        </w:rPr>
        <w:t>个工作日内采取补救措施，逾期仍未采取有效措施的，甲方有权要求乙方赔偿因此造成的损失并扣留履约保证金；同时乙方应向甲方支付合同总价</w:t>
      </w:r>
      <w:r>
        <w:rPr>
          <w:rFonts w:hint="eastAsia" w:ascii="仿宋_GB2312" w:hAnsi="仿宋_GB2312" w:eastAsia="仿宋_GB2312" w:cs="仿宋_GB2312"/>
          <w:color w:val="auto"/>
          <w:sz w:val="28"/>
          <w:szCs w:val="28"/>
          <w:highlight w:val="none"/>
          <w:u w:val="none"/>
        </w:rPr>
        <w:t>30％</w:t>
      </w:r>
      <w:r>
        <w:rPr>
          <w:rFonts w:hint="eastAsia" w:ascii="仿宋_GB2312" w:hAnsi="仿宋_GB2312" w:eastAsia="仿宋_GB2312" w:cs="仿宋_GB2312"/>
          <w:color w:val="auto"/>
          <w:sz w:val="28"/>
          <w:szCs w:val="28"/>
          <w:highlight w:val="none"/>
        </w:rPr>
        <w:t>的违约金。</w:t>
      </w:r>
    </w:p>
    <w:p w14:paraId="0D9572E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b w:val="0"/>
          <w:color w:val="auto"/>
          <w:sz w:val="28"/>
          <w:szCs w:val="28"/>
          <w:highlight w:val="none"/>
          <w:lang w:val="en-US" w:eastAsia="zh-CN"/>
        </w:rPr>
      </w:pPr>
      <w:r>
        <w:rPr>
          <w:rFonts w:hint="eastAsia" w:ascii="仿宋_GB2312" w:hAnsi="仿宋_GB2312" w:eastAsia="仿宋_GB2312" w:cs="仿宋_GB2312"/>
          <w:b w:val="0"/>
          <w:color w:val="auto"/>
          <w:sz w:val="28"/>
          <w:szCs w:val="28"/>
          <w:highlight w:val="none"/>
          <w:lang w:val="en-US" w:eastAsia="zh-CN"/>
        </w:rPr>
        <w:t>7.9 因乙方工作失误给甲方造成的各项经济损失及相关处罚由乙方承担全部责任。</w:t>
      </w:r>
    </w:p>
    <w:p w14:paraId="0F28AE64">
      <w:pPr>
        <w:pStyle w:val="5"/>
        <w:keepNext w:val="0"/>
        <w:keepLines w:val="0"/>
        <w:pageBreakBefore w:val="0"/>
        <w:widowControl w:val="0"/>
        <w:kinsoku/>
        <w:wordWrap/>
        <w:overflowPunct/>
        <w:topLinePunct w:val="0"/>
        <w:autoSpaceDE/>
        <w:autoSpaceDN/>
        <w:bidi w:val="0"/>
        <w:adjustRightInd/>
        <w:snapToGrid w:val="0"/>
        <w:spacing w:line="360" w:lineRule="auto"/>
        <w:ind w:left="452" w:leftChars="133" w:firstLine="280" w:firstLineChars="100"/>
        <w:textAlignment w:val="auto"/>
        <w:rPr>
          <w:rFonts w:hint="eastAsia" w:ascii="仿宋_GB2312" w:hAnsi="仿宋_GB2312" w:eastAsia="仿宋_GB2312" w:cs="仿宋_GB2312"/>
          <w:snapToGrid w:val="0"/>
          <w:color w:val="000000"/>
          <w:kern w:val="0"/>
          <w:sz w:val="28"/>
          <w:szCs w:val="28"/>
          <w:highlight w:val="none"/>
          <w:lang w:val="en-US" w:eastAsia="zh-CN" w:bidi="ar-SA"/>
        </w:rPr>
      </w:pPr>
      <w:r>
        <w:rPr>
          <w:rFonts w:hint="eastAsia" w:ascii="仿宋_GB2312" w:hAnsi="仿宋_GB2312" w:eastAsia="仿宋_GB2312" w:cs="仿宋_GB2312"/>
          <w:snapToGrid w:val="0"/>
          <w:color w:val="000000"/>
          <w:kern w:val="0"/>
          <w:sz w:val="28"/>
          <w:szCs w:val="28"/>
          <w:highlight w:val="none"/>
          <w:lang w:val="en-US" w:eastAsia="zh-CN" w:bidi="ar-SA"/>
        </w:rPr>
        <w:t>8.0 乙方必须遵守甲方生产现场的安全、文明生产各项规章制度，服从甲方的安全文明生产管理。在危险区域或特殊作业范围内工作，必须制定安全措施方案，并经甲方审查后实施。如不遵守甲方生产现场安全文明生产制度，不服从甲方管理，每次扣减合同价款1000元</w:t>
      </w:r>
    </w:p>
    <w:p w14:paraId="74CEBF20">
      <w:pPr>
        <w:pStyle w:val="5"/>
        <w:keepNext w:val="0"/>
        <w:keepLines w:val="0"/>
        <w:pageBreakBefore w:val="0"/>
        <w:widowControl w:val="0"/>
        <w:kinsoku/>
        <w:wordWrap/>
        <w:overflowPunct/>
        <w:topLinePunct w:val="0"/>
        <w:autoSpaceDE/>
        <w:autoSpaceDN/>
        <w:bidi w:val="0"/>
        <w:adjustRightInd/>
        <w:snapToGrid w:val="0"/>
        <w:spacing w:line="360" w:lineRule="auto"/>
        <w:ind w:left="452" w:leftChars="133" w:firstLine="280" w:firstLineChars="100"/>
        <w:textAlignment w:val="auto"/>
        <w:rPr>
          <w:rFonts w:hint="eastAsia" w:ascii="仿宋_GB2312" w:hAnsi="仿宋_GB2312" w:eastAsia="仿宋_GB2312" w:cs="仿宋_GB2312"/>
          <w:snapToGrid w:val="0"/>
          <w:color w:val="000000"/>
          <w:kern w:val="0"/>
          <w:sz w:val="28"/>
          <w:szCs w:val="28"/>
          <w:highlight w:val="none"/>
          <w:lang w:val="en-US" w:eastAsia="zh-CN" w:bidi="ar-SA"/>
        </w:rPr>
      </w:pPr>
      <w:r>
        <w:rPr>
          <w:rFonts w:hint="eastAsia" w:ascii="仿宋_GB2312" w:hAnsi="仿宋_GB2312" w:eastAsia="仿宋_GB2312" w:cs="仿宋_GB2312"/>
          <w:snapToGrid w:val="0"/>
          <w:color w:val="000000"/>
          <w:kern w:val="0"/>
          <w:sz w:val="28"/>
          <w:szCs w:val="28"/>
          <w:highlight w:val="none"/>
          <w:lang w:val="en-US" w:eastAsia="zh-CN" w:bidi="ar-SA"/>
        </w:rPr>
        <w:t>8.1 乙方在厂区内开展监测工作时，须自备推车拉运检测设备，甲方生产现场严禁车辆通行，如不遵守甲方生产现场安全生产制度，不服从甲方管理，每次扣减合同价款2000元/次，且因车辆行驶过由乙方原因造成的设备损坏及人身事故均由乙方负责。</w:t>
      </w:r>
    </w:p>
    <w:p w14:paraId="7FA897F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b w:val="0"/>
          <w:color w:val="auto"/>
          <w:sz w:val="28"/>
          <w:szCs w:val="28"/>
          <w:highlight w:val="none"/>
          <w:lang w:val="en-US" w:eastAsia="zh-CN"/>
        </w:rPr>
      </w:pPr>
      <w:r>
        <w:rPr>
          <w:rFonts w:hint="eastAsia" w:ascii="仿宋_GB2312" w:hAnsi="仿宋_GB2312" w:eastAsia="仿宋_GB2312" w:cs="仿宋_GB2312"/>
          <w:snapToGrid w:val="0"/>
          <w:color w:val="000000"/>
          <w:kern w:val="0"/>
          <w:sz w:val="28"/>
          <w:szCs w:val="28"/>
          <w:highlight w:val="none"/>
          <w:lang w:val="en-US" w:eastAsia="zh-CN" w:bidi="ar-SA"/>
        </w:rPr>
        <w:t>8.2乙方未按约定期限交付验收成果报告，每延迟一天扣减合同总价2%的违约金，延迟10天以上，甲方有权解除合同。</w:t>
      </w:r>
    </w:p>
    <w:p w14:paraId="3728185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b w:val="0"/>
          <w:color w:val="auto"/>
          <w:sz w:val="28"/>
          <w:szCs w:val="28"/>
          <w:highlight w:val="none"/>
          <w:lang w:val="en-US" w:eastAsia="zh-CN"/>
        </w:rPr>
      </w:pPr>
      <w:r>
        <w:rPr>
          <w:rFonts w:hint="eastAsia" w:ascii="仿宋_GB2312" w:hAnsi="仿宋_GB2312" w:eastAsia="仿宋_GB2312" w:cs="仿宋_GB2312"/>
          <w:b w:val="0"/>
          <w:color w:val="auto"/>
          <w:sz w:val="28"/>
          <w:szCs w:val="28"/>
          <w:highlight w:val="none"/>
          <w:lang w:val="en-US" w:eastAsia="zh-CN"/>
        </w:rPr>
        <w:t>8.3 任何签约方违反本合同第二条、第三条、第四条、第五条、第六条、  第七条中的任何一条，按以下方式承担违约责任：违约方支付合同总金额30%的违约金，合同至此终止。</w:t>
      </w:r>
    </w:p>
    <w:p w14:paraId="5D9A3045">
      <w:pPr>
        <w:widowControl/>
        <w:spacing w:line="360" w:lineRule="auto"/>
        <w:ind w:firstLine="562" w:firstLineChars="200"/>
        <w:jc w:val="left"/>
        <w:rPr>
          <w:rFonts w:hint="eastAsia" w:ascii="仿宋_GB2312" w:hAnsi="仿宋_GB2312" w:eastAsia="仿宋_GB2312" w:cs="仿宋_GB2312"/>
          <w:b/>
          <w:sz w:val="28"/>
          <w:szCs w:val="28"/>
          <w:lang w:val="zh-CN" w:eastAsia="zh-CN"/>
        </w:rPr>
      </w:pPr>
      <w:bookmarkStart w:id="32" w:name="_Toc26517"/>
      <w:r>
        <w:rPr>
          <w:rFonts w:hint="eastAsia" w:ascii="仿宋_GB2312" w:hAnsi="仿宋_GB2312" w:eastAsia="仿宋_GB2312" w:cs="仿宋_GB2312"/>
          <w:b/>
          <w:sz w:val="28"/>
          <w:szCs w:val="28"/>
          <w:lang w:val="zh-CN" w:eastAsia="zh-CN"/>
        </w:rPr>
        <w:t>九、安全施工</w:t>
      </w:r>
      <w:bookmarkEnd w:id="32"/>
    </w:p>
    <w:p w14:paraId="5BA6B66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b w:val="0"/>
          <w:color w:val="auto"/>
          <w:sz w:val="28"/>
          <w:szCs w:val="28"/>
          <w:highlight w:val="none"/>
          <w:lang w:val="zh-CN" w:eastAsia="zh-CN"/>
        </w:rPr>
      </w:pPr>
      <w:r>
        <w:rPr>
          <w:rFonts w:hint="eastAsia" w:ascii="仿宋_GB2312" w:hAnsi="仿宋_GB2312" w:eastAsia="仿宋_GB2312" w:cs="仿宋_GB2312"/>
          <w:b w:val="0"/>
          <w:color w:val="auto"/>
          <w:sz w:val="28"/>
          <w:szCs w:val="28"/>
          <w:highlight w:val="none"/>
          <w:lang w:val="en-US" w:eastAsia="zh-CN"/>
        </w:rPr>
        <w:t>9.</w:t>
      </w:r>
      <w:r>
        <w:rPr>
          <w:rFonts w:hint="eastAsia" w:ascii="仿宋_GB2312" w:hAnsi="仿宋_GB2312" w:eastAsia="仿宋_GB2312" w:cs="仿宋_GB2312"/>
          <w:b w:val="0"/>
          <w:color w:val="auto"/>
          <w:sz w:val="28"/>
          <w:szCs w:val="28"/>
          <w:highlight w:val="none"/>
          <w:lang w:val="zh-CN" w:eastAsia="zh-CN"/>
        </w:rPr>
        <w:t>1</w:t>
      </w:r>
      <w:r>
        <w:rPr>
          <w:rFonts w:hint="eastAsia" w:ascii="仿宋_GB2312" w:hAnsi="仿宋_GB2312" w:eastAsia="仿宋_GB2312" w:cs="仿宋_GB2312"/>
          <w:b w:val="0"/>
          <w:color w:val="auto"/>
          <w:sz w:val="28"/>
          <w:szCs w:val="28"/>
          <w:highlight w:val="none"/>
          <w:lang w:val="en-US" w:eastAsia="zh-CN"/>
        </w:rPr>
        <w:t xml:space="preserve"> </w:t>
      </w:r>
      <w:r>
        <w:rPr>
          <w:rFonts w:hint="eastAsia" w:ascii="仿宋_GB2312" w:hAnsi="仿宋_GB2312" w:eastAsia="仿宋_GB2312" w:cs="仿宋_GB2312"/>
          <w:b w:val="0"/>
          <w:color w:val="auto"/>
          <w:sz w:val="28"/>
          <w:szCs w:val="28"/>
          <w:highlight w:val="none"/>
          <w:lang w:val="zh-CN" w:eastAsia="zh-CN"/>
        </w:rPr>
        <w:t>乙方须加强施工时安全作业管理，应特别加强易燃、易爆材料、火工器材、有毒与腐蚀性材料的和其他危险品的管理，以及对</w:t>
      </w:r>
      <w:r>
        <w:rPr>
          <w:rFonts w:hint="eastAsia" w:ascii="仿宋_GB2312" w:hAnsi="仿宋_GB2312" w:eastAsia="仿宋_GB2312" w:cs="仿宋_GB2312"/>
          <w:b w:val="0"/>
          <w:color w:val="auto"/>
          <w:sz w:val="28"/>
          <w:szCs w:val="28"/>
          <w:highlight w:val="none"/>
          <w:lang w:val="en-US" w:eastAsia="zh-CN"/>
        </w:rPr>
        <w:t>密闭空间</w:t>
      </w:r>
      <w:r>
        <w:rPr>
          <w:rFonts w:hint="eastAsia" w:ascii="仿宋_GB2312" w:hAnsi="仿宋_GB2312" w:eastAsia="仿宋_GB2312" w:cs="仿宋_GB2312"/>
          <w:b w:val="0"/>
          <w:color w:val="auto"/>
          <w:sz w:val="28"/>
          <w:szCs w:val="28"/>
          <w:highlight w:val="none"/>
          <w:lang w:val="zh-CN" w:eastAsia="zh-CN"/>
        </w:rPr>
        <w:t>施工等危险作业的管理。</w:t>
      </w:r>
    </w:p>
    <w:p w14:paraId="3369957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b w:val="0"/>
          <w:color w:val="auto"/>
          <w:sz w:val="28"/>
          <w:szCs w:val="28"/>
          <w:highlight w:val="none"/>
          <w:lang w:val="zh-CN" w:eastAsia="zh-CN"/>
        </w:rPr>
      </w:pPr>
      <w:r>
        <w:rPr>
          <w:rFonts w:hint="eastAsia" w:ascii="仿宋_GB2312" w:hAnsi="仿宋_GB2312" w:eastAsia="仿宋_GB2312" w:cs="仿宋_GB2312"/>
          <w:b w:val="0"/>
          <w:color w:val="auto"/>
          <w:sz w:val="28"/>
          <w:szCs w:val="28"/>
          <w:highlight w:val="none"/>
          <w:lang w:val="en-US" w:eastAsia="zh-CN"/>
        </w:rPr>
        <w:t xml:space="preserve">9.2 </w:t>
      </w:r>
      <w:r>
        <w:rPr>
          <w:rFonts w:hint="eastAsia" w:ascii="仿宋_GB2312" w:hAnsi="仿宋_GB2312" w:eastAsia="仿宋_GB2312" w:cs="仿宋_GB2312"/>
          <w:b w:val="0"/>
          <w:color w:val="auto"/>
          <w:sz w:val="28"/>
          <w:szCs w:val="28"/>
          <w:highlight w:val="none"/>
          <w:lang w:val="zh-CN" w:eastAsia="zh-CN"/>
        </w:rPr>
        <w:t>乙方配备与承揽工作必要的安全生产和安全保护设备，加强对施工人员的安全教育，并发放安全保护手册和劳动保护用具。</w:t>
      </w:r>
    </w:p>
    <w:p w14:paraId="54FD942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b w:val="0"/>
          <w:color w:val="auto"/>
          <w:sz w:val="28"/>
          <w:szCs w:val="28"/>
          <w:highlight w:val="none"/>
          <w:lang w:val="en-US" w:eastAsia="zh-CN"/>
        </w:rPr>
      </w:pPr>
      <w:r>
        <w:rPr>
          <w:rFonts w:hint="eastAsia" w:ascii="仿宋_GB2312" w:hAnsi="仿宋_GB2312" w:eastAsia="仿宋_GB2312" w:cs="仿宋_GB2312"/>
          <w:b w:val="0"/>
          <w:color w:val="auto"/>
          <w:sz w:val="28"/>
          <w:szCs w:val="28"/>
          <w:highlight w:val="none"/>
          <w:lang w:val="en-US" w:eastAsia="zh-CN"/>
        </w:rPr>
        <w:t>9.3 安全保证:</w:t>
      </w:r>
    </w:p>
    <w:p w14:paraId="5067018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b w:val="0"/>
          <w:color w:val="auto"/>
          <w:sz w:val="28"/>
          <w:szCs w:val="28"/>
          <w:highlight w:val="none"/>
          <w:lang w:val="en-US" w:eastAsia="zh-CN"/>
        </w:rPr>
      </w:pPr>
      <w:r>
        <w:rPr>
          <w:rFonts w:hint="eastAsia" w:ascii="仿宋_GB2312" w:hAnsi="仿宋_GB2312" w:eastAsia="仿宋_GB2312" w:cs="仿宋_GB2312"/>
          <w:b w:val="0"/>
          <w:color w:val="auto"/>
          <w:sz w:val="28"/>
          <w:szCs w:val="28"/>
          <w:highlight w:val="none"/>
          <w:lang w:val="en-US" w:eastAsia="zh-CN"/>
        </w:rPr>
        <w:t>（1）乙方必须遵守甲方安全文明制度及其他有关保卫、消防管理规定。</w:t>
      </w:r>
    </w:p>
    <w:p w14:paraId="25A72DE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b w:val="0"/>
          <w:color w:val="auto"/>
          <w:sz w:val="28"/>
          <w:szCs w:val="28"/>
          <w:highlight w:val="none"/>
          <w:lang w:val="en-US" w:eastAsia="zh-CN"/>
        </w:rPr>
      </w:pPr>
      <w:r>
        <w:rPr>
          <w:rFonts w:hint="eastAsia" w:ascii="仿宋_GB2312" w:hAnsi="仿宋_GB2312" w:eastAsia="仿宋_GB2312" w:cs="仿宋_GB2312"/>
          <w:b w:val="0"/>
          <w:color w:val="auto"/>
          <w:sz w:val="28"/>
          <w:szCs w:val="28"/>
          <w:highlight w:val="none"/>
          <w:lang w:val="en-US" w:eastAsia="zh-CN"/>
        </w:rPr>
        <w:t>（2）当乙方人员责任发生人身轻伤和一般设备事故，造成甲方设备二类障碍以上设备事故，由乙方赔偿事故损失。</w:t>
      </w:r>
    </w:p>
    <w:p w14:paraId="1C49ABB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b w:val="0"/>
          <w:color w:val="auto"/>
          <w:sz w:val="28"/>
          <w:szCs w:val="28"/>
          <w:highlight w:val="none"/>
          <w:lang w:val="en-US" w:eastAsia="zh-CN"/>
        </w:rPr>
      </w:pPr>
      <w:r>
        <w:rPr>
          <w:rFonts w:hint="eastAsia" w:ascii="仿宋_GB2312" w:hAnsi="仿宋_GB2312" w:eastAsia="仿宋_GB2312" w:cs="仿宋_GB2312"/>
          <w:b w:val="0"/>
          <w:color w:val="auto"/>
          <w:sz w:val="28"/>
          <w:szCs w:val="28"/>
          <w:highlight w:val="none"/>
          <w:lang w:val="en-US" w:eastAsia="zh-CN"/>
        </w:rPr>
        <w:t>（3）当乙方人员责任发生作业人员人身重伤及以上事故，造成甲方人员伤害事件，由乙方赔付甲方治疗费、误工费和补偿费及一切为实现权力的合理费用，必要时将进行司法追诉。</w:t>
      </w:r>
    </w:p>
    <w:p w14:paraId="7BBF13F8">
      <w:pPr>
        <w:widowControl/>
        <w:spacing w:line="360" w:lineRule="auto"/>
        <w:ind w:firstLine="562" w:firstLineChars="200"/>
        <w:jc w:val="left"/>
        <w:rPr>
          <w:rFonts w:hint="eastAsia" w:ascii="仿宋_GB2312" w:hAnsi="仿宋_GB2312" w:eastAsia="仿宋_GB2312" w:cs="仿宋_GB2312"/>
          <w:b/>
          <w:sz w:val="28"/>
          <w:szCs w:val="28"/>
          <w:lang w:val="zh-CN" w:eastAsia="zh-CN"/>
        </w:rPr>
      </w:pPr>
      <w:bookmarkStart w:id="33" w:name="_Toc22014"/>
      <w:r>
        <w:rPr>
          <w:rFonts w:hint="eastAsia" w:ascii="仿宋_GB2312" w:hAnsi="仿宋_GB2312" w:eastAsia="仿宋_GB2312" w:cs="仿宋_GB2312"/>
          <w:b/>
          <w:sz w:val="28"/>
          <w:szCs w:val="28"/>
          <w:lang w:val="zh-CN" w:eastAsia="zh-CN"/>
        </w:rPr>
        <w:t>十</w:t>
      </w:r>
      <w:r>
        <w:rPr>
          <w:rFonts w:hint="eastAsia" w:ascii="仿宋_GB2312" w:hAnsi="仿宋_GB2312" w:eastAsia="仿宋_GB2312" w:cs="仿宋_GB2312"/>
          <w:b/>
          <w:sz w:val="28"/>
          <w:szCs w:val="28"/>
          <w:lang w:val="en-US" w:eastAsia="zh-CN"/>
        </w:rPr>
        <w:t>、</w:t>
      </w:r>
      <w:r>
        <w:rPr>
          <w:rFonts w:hint="eastAsia" w:ascii="仿宋_GB2312" w:hAnsi="仿宋_GB2312" w:eastAsia="仿宋_GB2312" w:cs="仿宋_GB2312"/>
          <w:b/>
          <w:sz w:val="28"/>
          <w:szCs w:val="28"/>
          <w:lang w:val="zh-CN" w:eastAsia="zh-CN"/>
        </w:rPr>
        <w:t>不可抗力</w:t>
      </w:r>
      <w:bookmarkEnd w:id="33"/>
    </w:p>
    <w:p w14:paraId="058338B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b w:val="0"/>
          <w:color w:val="auto"/>
          <w:sz w:val="28"/>
          <w:szCs w:val="28"/>
          <w:highlight w:val="none"/>
          <w:lang w:val="en-US" w:eastAsia="zh-CN"/>
        </w:rPr>
      </w:pPr>
      <w:r>
        <w:rPr>
          <w:rFonts w:hint="eastAsia" w:ascii="仿宋_GB2312" w:hAnsi="仿宋_GB2312" w:eastAsia="仿宋_GB2312" w:cs="仿宋_GB2312"/>
          <w:b w:val="0"/>
          <w:color w:val="auto"/>
          <w:sz w:val="28"/>
          <w:szCs w:val="28"/>
          <w:highlight w:val="none"/>
          <w:lang w:val="en-US" w:eastAsia="zh-CN"/>
        </w:rPr>
        <w:t>10.1 如果任何一方因不可抗力，如战争、火灾、台风、洪水、地震、恐怖事件导致合同履行被迫停止或不得不推迟履行本合同，双方应协商解决本合同的进一步履行问题。但遭受不可抗力的一方应采取所有合理措施，将不可抗力引致的延误及损失减至最小。</w:t>
      </w:r>
    </w:p>
    <w:p w14:paraId="5F9B150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b w:val="0"/>
          <w:color w:val="auto"/>
          <w:sz w:val="28"/>
          <w:szCs w:val="28"/>
          <w:highlight w:val="none"/>
          <w:lang w:val="en-US" w:eastAsia="zh-CN"/>
        </w:rPr>
      </w:pPr>
      <w:r>
        <w:rPr>
          <w:rFonts w:hint="eastAsia" w:ascii="仿宋_GB2312" w:hAnsi="仿宋_GB2312" w:eastAsia="仿宋_GB2312" w:cs="仿宋_GB2312"/>
          <w:b w:val="0"/>
          <w:color w:val="auto"/>
          <w:sz w:val="28"/>
          <w:szCs w:val="28"/>
          <w:highlight w:val="none"/>
          <w:lang w:val="en-US" w:eastAsia="zh-CN"/>
        </w:rPr>
        <w:t>10.2 受不可抗力影响的一方应将有关情况尽快通过专人送达、电传或传真通知另一方。在不可抗力出现15天内，受影响的一方应提供一份有关权威机构出具的证明文件并通过快件或挂号信寄至对方以便其检验和确认。</w:t>
      </w:r>
    </w:p>
    <w:p w14:paraId="3BEA4D8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b w:val="0"/>
          <w:color w:val="auto"/>
          <w:sz w:val="28"/>
          <w:szCs w:val="28"/>
          <w:highlight w:val="none"/>
          <w:lang w:val="en-US" w:eastAsia="zh-CN"/>
        </w:rPr>
      </w:pPr>
      <w:r>
        <w:rPr>
          <w:rFonts w:hint="eastAsia" w:ascii="仿宋_GB2312" w:hAnsi="仿宋_GB2312" w:eastAsia="仿宋_GB2312" w:cs="仿宋_GB2312"/>
          <w:b w:val="0"/>
          <w:color w:val="auto"/>
          <w:sz w:val="28"/>
          <w:szCs w:val="28"/>
          <w:highlight w:val="none"/>
          <w:lang w:val="en-US" w:eastAsia="zh-CN"/>
        </w:rPr>
        <w:t>10.3 受影响的一方应在不可抗力终止或被排除后3日内通过专人送达、电传或传真通知另一方，通知对方不可抗力已终结或排除。</w:t>
      </w:r>
    </w:p>
    <w:p w14:paraId="54FD48A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b w:val="0"/>
          <w:color w:val="auto"/>
          <w:sz w:val="28"/>
          <w:szCs w:val="28"/>
          <w:highlight w:val="none"/>
          <w:lang w:val="en-US" w:eastAsia="zh-CN"/>
        </w:rPr>
      </w:pPr>
      <w:r>
        <w:rPr>
          <w:rFonts w:hint="eastAsia" w:ascii="仿宋_GB2312" w:hAnsi="仿宋_GB2312" w:eastAsia="仿宋_GB2312" w:cs="仿宋_GB2312"/>
          <w:b w:val="0"/>
          <w:color w:val="auto"/>
          <w:sz w:val="28"/>
          <w:szCs w:val="28"/>
          <w:highlight w:val="none"/>
          <w:lang w:val="en-US" w:eastAsia="zh-CN"/>
        </w:rPr>
        <w:t>9.4 如果不可抗力持续作用超过10天，双方应就合同执行问题进行友好协商，并尽快达成书面合同。如果未能达成书面合同，任何一方有权终止本合同。</w:t>
      </w:r>
    </w:p>
    <w:p w14:paraId="20BEEBF8">
      <w:pPr>
        <w:widowControl/>
        <w:spacing w:line="360" w:lineRule="auto"/>
        <w:ind w:firstLine="562" w:firstLineChars="200"/>
        <w:jc w:val="left"/>
        <w:rPr>
          <w:rFonts w:hint="eastAsia" w:ascii="仿宋_GB2312" w:hAnsi="仿宋_GB2312" w:eastAsia="仿宋_GB2312" w:cs="仿宋_GB2312"/>
          <w:b/>
          <w:sz w:val="28"/>
          <w:szCs w:val="28"/>
          <w:lang w:val="zh-CN" w:eastAsia="zh-CN"/>
        </w:rPr>
      </w:pPr>
      <w:r>
        <w:rPr>
          <w:rFonts w:hint="eastAsia" w:ascii="仿宋_GB2312" w:hAnsi="仿宋_GB2312" w:eastAsia="仿宋_GB2312" w:cs="仿宋_GB2312"/>
          <w:b/>
          <w:sz w:val="28"/>
          <w:szCs w:val="28"/>
          <w:lang w:val="zh-CN" w:eastAsia="zh-CN"/>
        </w:rPr>
        <w:t>十一</w:t>
      </w:r>
      <w:r>
        <w:rPr>
          <w:rFonts w:hint="eastAsia" w:ascii="仿宋_GB2312" w:hAnsi="仿宋_GB2312" w:eastAsia="仿宋_GB2312" w:cs="仿宋_GB2312"/>
          <w:b/>
          <w:sz w:val="28"/>
          <w:szCs w:val="28"/>
          <w:lang w:val="en-US" w:eastAsia="zh-CN"/>
        </w:rPr>
        <w:t>、</w:t>
      </w:r>
      <w:r>
        <w:rPr>
          <w:rFonts w:hint="eastAsia" w:ascii="仿宋_GB2312" w:hAnsi="仿宋_GB2312" w:eastAsia="仿宋_GB2312" w:cs="仿宋_GB2312"/>
          <w:b/>
          <w:sz w:val="28"/>
          <w:szCs w:val="28"/>
          <w:lang w:val="zh-CN" w:eastAsia="zh-CN"/>
        </w:rPr>
        <w:t>合同的终止</w:t>
      </w:r>
    </w:p>
    <w:p w14:paraId="7041240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b w:val="0"/>
          <w:color w:val="auto"/>
          <w:sz w:val="28"/>
          <w:szCs w:val="28"/>
          <w:highlight w:val="none"/>
          <w:lang w:val="en-US" w:eastAsia="zh-CN"/>
        </w:rPr>
      </w:pPr>
      <w:r>
        <w:rPr>
          <w:rFonts w:hint="eastAsia" w:ascii="仿宋_GB2312" w:hAnsi="仿宋_GB2312" w:eastAsia="仿宋_GB2312" w:cs="仿宋_GB2312"/>
          <w:b w:val="0"/>
          <w:color w:val="auto"/>
          <w:sz w:val="28"/>
          <w:szCs w:val="28"/>
          <w:highlight w:val="none"/>
          <w:lang w:val="en-US" w:eastAsia="zh-CN"/>
        </w:rPr>
        <w:t>11.1 本合同在双方的责任和义务履行完毕后终止。</w:t>
      </w:r>
    </w:p>
    <w:p w14:paraId="309EB16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color w:val="auto"/>
          <w:sz w:val="24"/>
          <w:szCs w:val="24"/>
          <w:highlight w:val="none"/>
          <w:lang w:val="en-US" w:eastAsia="zh-CN"/>
        </w:rPr>
      </w:pPr>
      <w:r>
        <w:rPr>
          <w:rFonts w:hint="eastAsia" w:ascii="仿宋_GB2312" w:hAnsi="仿宋_GB2312" w:eastAsia="仿宋_GB2312" w:cs="仿宋_GB2312"/>
          <w:b w:val="0"/>
          <w:color w:val="auto"/>
          <w:sz w:val="28"/>
          <w:szCs w:val="28"/>
          <w:highlight w:val="none"/>
          <w:lang w:val="en-US" w:eastAsia="zh-CN"/>
        </w:rPr>
        <w:t>11.2 甲乙双方任何一方提出终止合同时，应由合同终止提出方向对方支付合同总额的30%作为赔偿。</w:t>
      </w:r>
    </w:p>
    <w:p w14:paraId="62CB1478">
      <w:pPr>
        <w:widowControl/>
        <w:spacing w:line="360" w:lineRule="auto"/>
        <w:ind w:firstLine="562" w:firstLineChars="200"/>
        <w:jc w:val="left"/>
        <w:rPr>
          <w:rFonts w:hint="eastAsia" w:ascii="仿宋_GB2312" w:hAnsi="仿宋_GB2312" w:eastAsia="仿宋_GB2312" w:cs="仿宋_GB2312"/>
          <w:b/>
          <w:sz w:val="28"/>
          <w:szCs w:val="28"/>
          <w:lang w:val="zh-CN" w:eastAsia="zh-CN"/>
        </w:rPr>
      </w:pPr>
      <w:r>
        <w:rPr>
          <w:rFonts w:hint="eastAsia" w:ascii="仿宋_GB2312" w:hAnsi="仿宋_GB2312" w:eastAsia="仿宋_GB2312" w:cs="仿宋_GB2312"/>
          <w:b/>
          <w:sz w:val="28"/>
          <w:szCs w:val="28"/>
          <w:lang w:val="zh-CN" w:eastAsia="zh-CN"/>
        </w:rPr>
        <w:t>十二</w:t>
      </w:r>
      <w:r>
        <w:rPr>
          <w:rFonts w:hint="eastAsia" w:ascii="仿宋_GB2312" w:hAnsi="仿宋_GB2312" w:eastAsia="仿宋_GB2312" w:cs="仿宋_GB2312"/>
          <w:b/>
          <w:sz w:val="28"/>
          <w:szCs w:val="28"/>
          <w:lang w:val="en-US" w:eastAsia="zh-CN"/>
        </w:rPr>
        <w:t>、</w:t>
      </w:r>
      <w:r>
        <w:rPr>
          <w:rFonts w:hint="eastAsia" w:ascii="仿宋_GB2312" w:hAnsi="仿宋_GB2312" w:eastAsia="仿宋_GB2312" w:cs="仿宋_GB2312"/>
          <w:b/>
          <w:sz w:val="28"/>
          <w:szCs w:val="28"/>
          <w:lang w:val="zh-CN" w:eastAsia="zh-CN"/>
        </w:rPr>
        <w:t>争议处理</w:t>
      </w:r>
    </w:p>
    <w:p w14:paraId="16082DA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b w:val="0"/>
          <w:color w:val="auto"/>
          <w:sz w:val="28"/>
          <w:szCs w:val="28"/>
          <w:highlight w:val="none"/>
          <w:lang w:val="en-US" w:eastAsia="zh-CN"/>
        </w:rPr>
      </w:pPr>
      <w:r>
        <w:rPr>
          <w:rFonts w:hint="eastAsia" w:ascii="仿宋_GB2312" w:hAnsi="仿宋_GB2312" w:eastAsia="仿宋_GB2312" w:cs="仿宋_GB2312"/>
          <w:b w:val="0"/>
          <w:color w:val="auto"/>
          <w:sz w:val="28"/>
          <w:szCs w:val="28"/>
          <w:highlight w:val="none"/>
          <w:lang w:val="en-US" w:eastAsia="zh-CN"/>
        </w:rPr>
        <w:t>12.1 本合同受中华人民共和国法律管辖并按其进行解释。</w:t>
      </w:r>
    </w:p>
    <w:p w14:paraId="4065541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b w:val="0"/>
          <w:color w:val="auto"/>
          <w:sz w:val="28"/>
          <w:szCs w:val="28"/>
          <w:highlight w:val="none"/>
          <w:lang w:val="en-US" w:eastAsia="zh-CN"/>
        </w:rPr>
      </w:pPr>
      <w:r>
        <w:rPr>
          <w:rFonts w:hint="eastAsia" w:ascii="仿宋_GB2312" w:hAnsi="仿宋_GB2312" w:eastAsia="仿宋_GB2312" w:cs="仿宋_GB2312"/>
          <w:b w:val="0"/>
          <w:color w:val="auto"/>
          <w:sz w:val="28"/>
          <w:szCs w:val="28"/>
          <w:highlight w:val="none"/>
          <w:lang w:val="en-US" w:eastAsia="zh-CN"/>
        </w:rPr>
        <w:t>12.2 凡与本合同有关而引起的一切争议，双方应首先通过友好协商解决，如经协商后仍不能达成协议时，则提交双方上级主管部门调解。如仍不能解决，双方同意任何一方可向甲方所在地人民法院提出诉讼。</w:t>
      </w:r>
    </w:p>
    <w:p w14:paraId="51E7BF32">
      <w:pPr>
        <w:widowControl/>
        <w:spacing w:line="360" w:lineRule="auto"/>
        <w:ind w:firstLine="560" w:firstLineChars="200"/>
        <w:jc w:val="left"/>
        <w:rPr>
          <w:rFonts w:hint="eastAsia" w:ascii="仿宋_GB2312" w:hAnsi="仿宋_GB2312" w:eastAsia="仿宋_GB2312" w:cs="仿宋_GB2312"/>
          <w:b w:val="0"/>
          <w:bCs/>
          <w:sz w:val="28"/>
          <w:szCs w:val="28"/>
          <w:lang w:val="zh-CN" w:eastAsia="zh-CN"/>
        </w:rPr>
      </w:pPr>
      <w:r>
        <w:rPr>
          <w:rFonts w:hint="eastAsia" w:ascii="仿宋_GB2312" w:hAnsi="仿宋_GB2312" w:eastAsia="仿宋_GB2312" w:cs="仿宋_GB2312"/>
          <w:b w:val="0"/>
          <w:bCs/>
          <w:sz w:val="28"/>
          <w:szCs w:val="28"/>
          <w:lang w:val="en-US" w:eastAsia="zh-CN"/>
        </w:rPr>
        <w:t>12.3 在法院审理期间，除提交法院审理的事项外，合同仍应继续履行。</w:t>
      </w:r>
    </w:p>
    <w:p w14:paraId="30AD35F5">
      <w:pPr>
        <w:widowControl/>
        <w:spacing w:line="360" w:lineRule="auto"/>
        <w:ind w:firstLine="562"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sz w:val="28"/>
          <w:szCs w:val="28"/>
          <w:lang w:val="zh-CN" w:eastAsia="zh-CN"/>
        </w:rPr>
        <w:t>十三</w:t>
      </w:r>
      <w:r>
        <w:rPr>
          <w:rFonts w:hint="eastAsia" w:ascii="仿宋_GB2312" w:hAnsi="仿宋_GB2312" w:eastAsia="仿宋_GB2312" w:cs="仿宋_GB2312"/>
          <w:b/>
          <w:sz w:val="28"/>
          <w:szCs w:val="28"/>
          <w:lang w:val="en-US" w:eastAsia="zh-CN"/>
        </w:rPr>
        <w:t>、</w:t>
      </w:r>
      <w:r>
        <w:rPr>
          <w:rFonts w:hint="eastAsia" w:ascii="仿宋_GB2312" w:hAnsi="仿宋_GB2312" w:eastAsia="仿宋_GB2312" w:cs="仿宋_GB2312"/>
          <w:b/>
          <w:sz w:val="28"/>
          <w:szCs w:val="28"/>
          <w:lang w:val="zh-CN" w:eastAsia="zh-CN"/>
        </w:rPr>
        <w:t>其它</w:t>
      </w:r>
      <w:r>
        <w:rPr>
          <w:rFonts w:hint="eastAsia" w:ascii="仿宋_GB2312" w:hAnsi="仿宋_GB2312" w:eastAsia="仿宋_GB2312" w:cs="仿宋_GB2312"/>
          <w:color w:val="auto"/>
          <w:sz w:val="28"/>
          <w:szCs w:val="28"/>
          <w:highlight w:val="none"/>
        </w:rPr>
        <w:tab/>
      </w:r>
    </w:p>
    <w:p w14:paraId="758AD92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b w:val="0"/>
          <w:color w:val="auto"/>
          <w:sz w:val="28"/>
          <w:szCs w:val="28"/>
          <w:highlight w:val="none"/>
          <w:lang w:val="en-US" w:eastAsia="zh-CN"/>
        </w:rPr>
      </w:pPr>
      <w:r>
        <w:rPr>
          <w:rFonts w:hint="eastAsia" w:ascii="仿宋_GB2312" w:hAnsi="仿宋_GB2312" w:eastAsia="仿宋_GB2312" w:cs="仿宋_GB2312"/>
          <w:b w:val="0"/>
          <w:color w:val="auto"/>
          <w:sz w:val="28"/>
          <w:szCs w:val="28"/>
          <w:highlight w:val="none"/>
          <w:lang w:val="en-US" w:eastAsia="zh-CN"/>
        </w:rPr>
        <w:t>13.1 本合同自甲乙双方签字盖章之日起生效。</w:t>
      </w:r>
    </w:p>
    <w:p w14:paraId="0A8C1F4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b w:val="0"/>
          <w:color w:val="auto"/>
          <w:sz w:val="28"/>
          <w:szCs w:val="28"/>
          <w:highlight w:val="none"/>
          <w:lang w:val="en-US" w:eastAsia="zh-CN"/>
        </w:rPr>
      </w:pPr>
      <w:r>
        <w:rPr>
          <w:rFonts w:hint="eastAsia" w:ascii="仿宋_GB2312" w:hAnsi="仿宋_GB2312" w:eastAsia="仿宋_GB2312" w:cs="仿宋_GB2312"/>
          <w:b w:val="0"/>
          <w:color w:val="auto"/>
          <w:sz w:val="28"/>
          <w:szCs w:val="28"/>
          <w:highlight w:val="none"/>
          <w:lang w:val="en-US" w:eastAsia="zh-CN"/>
        </w:rPr>
        <w:t>13.2 本合同一式</w:t>
      </w:r>
      <w:r>
        <w:rPr>
          <w:rFonts w:hint="eastAsia" w:ascii="仿宋_GB2312" w:hAnsi="仿宋_GB2312" w:eastAsia="仿宋_GB2312" w:cs="仿宋_GB2312"/>
          <w:b w:val="0"/>
          <w:color w:val="auto"/>
          <w:sz w:val="28"/>
          <w:szCs w:val="28"/>
          <w:highlight w:val="none"/>
          <w:u w:val="single"/>
          <w:lang w:val="en-US" w:eastAsia="zh-CN"/>
        </w:rPr>
        <w:t xml:space="preserve"> 捌 </w:t>
      </w:r>
      <w:r>
        <w:rPr>
          <w:rFonts w:hint="eastAsia" w:ascii="仿宋_GB2312" w:hAnsi="仿宋_GB2312" w:eastAsia="仿宋_GB2312" w:cs="仿宋_GB2312"/>
          <w:b w:val="0"/>
          <w:color w:val="auto"/>
          <w:sz w:val="28"/>
          <w:szCs w:val="28"/>
          <w:highlight w:val="none"/>
          <w:lang w:val="en-US" w:eastAsia="zh-CN"/>
        </w:rPr>
        <w:t>份，甲方持</w:t>
      </w:r>
      <w:r>
        <w:rPr>
          <w:rFonts w:hint="eastAsia" w:ascii="仿宋_GB2312" w:hAnsi="仿宋_GB2312" w:eastAsia="仿宋_GB2312" w:cs="仿宋_GB2312"/>
          <w:b w:val="0"/>
          <w:color w:val="auto"/>
          <w:sz w:val="28"/>
          <w:szCs w:val="28"/>
          <w:highlight w:val="none"/>
          <w:u w:val="single"/>
          <w:lang w:val="en-US" w:eastAsia="zh-CN"/>
        </w:rPr>
        <w:t xml:space="preserve"> 陆 </w:t>
      </w:r>
      <w:r>
        <w:rPr>
          <w:rFonts w:hint="eastAsia" w:ascii="仿宋_GB2312" w:hAnsi="仿宋_GB2312" w:eastAsia="仿宋_GB2312" w:cs="仿宋_GB2312"/>
          <w:b w:val="0"/>
          <w:color w:val="auto"/>
          <w:sz w:val="28"/>
          <w:szCs w:val="28"/>
          <w:highlight w:val="none"/>
          <w:lang w:val="en-US" w:eastAsia="zh-CN"/>
        </w:rPr>
        <w:t>份，乙方持</w:t>
      </w:r>
      <w:r>
        <w:rPr>
          <w:rFonts w:hint="eastAsia" w:ascii="仿宋_GB2312" w:hAnsi="仿宋_GB2312" w:eastAsia="仿宋_GB2312" w:cs="仿宋_GB2312"/>
          <w:b w:val="0"/>
          <w:color w:val="auto"/>
          <w:sz w:val="28"/>
          <w:szCs w:val="28"/>
          <w:highlight w:val="none"/>
          <w:u w:val="single"/>
          <w:lang w:val="en-US" w:eastAsia="zh-CN"/>
        </w:rPr>
        <w:t xml:space="preserve"> 贰 </w:t>
      </w:r>
      <w:r>
        <w:rPr>
          <w:rFonts w:hint="eastAsia" w:ascii="仿宋_GB2312" w:hAnsi="仿宋_GB2312" w:eastAsia="仿宋_GB2312" w:cs="仿宋_GB2312"/>
          <w:b w:val="0"/>
          <w:color w:val="auto"/>
          <w:sz w:val="28"/>
          <w:szCs w:val="28"/>
          <w:highlight w:val="none"/>
          <w:lang w:val="en-US" w:eastAsia="zh-CN"/>
        </w:rPr>
        <w:t>份。</w:t>
      </w:r>
    </w:p>
    <w:p w14:paraId="5564452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b w:val="0"/>
          <w:color w:val="auto"/>
          <w:sz w:val="28"/>
          <w:szCs w:val="28"/>
          <w:highlight w:val="none"/>
          <w:lang w:val="en-US" w:eastAsia="zh-CN"/>
        </w:rPr>
      </w:pPr>
      <w:r>
        <w:rPr>
          <w:rFonts w:hint="eastAsia" w:ascii="仿宋_GB2312" w:hAnsi="仿宋_GB2312" w:eastAsia="仿宋_GB2312" w:cs="仿宋_GB2312"/>
          <w:b w:val="0"/>
          <w:color w:val="auto"/>
          <w:sz w:val="28"/>
          <w:szCs w:val="28"/>
          <w:highlight w:val="none"/>
          <w:lang w:val="en-US" w:eastAsia="zh-CN"/>
        </w:rPr>
        <w:t>13.3 合同附件作为本合同的一部分，与本合同具有同等的法律效力。</w:t>
      </w:r>
    </w:p>
    <w:p w14:paraId="76384F4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b w:val="0"/>
          <w:color w:val="auto"/>
          <w:sz w:val="28"/>
          <w:szCs w:val="28"/>
          <w:highlight w:val="none"/>
          <w:lang w:val="en-US" w:eastAsia="zh-CN"/>
        </w:rPr>
      </w:pPr>
      <w:r>
        <w:rPr>
          <w:rFonts w:hint="eastAsia" w:ascii="仿宋_GB2312" w:hAnsi="仿宋_GB2312" w:eastAsia="仿宋_GB2312" w:cs="仿宋_GB2312"/>
          <w:b w:val="0"/>
          <w:color w:val="auto"/>
          <w:sz w:val="28"/>
          <w:szCs w:val="28"/>
          <w:highlight w:val="none"/>
          <w:lang w:val="en-US" w:eastAsia="zh-CN"/>
        </w:rPr>
        <w:t>13.4 合同如有未尽事宜，双方可以协商另行订立补充协议，补充协议与本合同具有同等的法律效力，补充协议如与本合同有不一致之处，以补充协议为准。</w:t>
      </w:r>
    </w:p>
    <w:p w14:paraId="6F12263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b w:val="0"/>
          <w:color w:val="auto"/>
          <w:sz w:val="28"/>
          <w:szCs w:val="28"/>
          <w:highlight w:val="none"/>
          <w:lang w:val="en-US" w:eastAsia="zh-CN"/>
        </w:rPr>
      </w:pPr>
      <w:r>
        <w:rPr>
          <w:rFonts w:hint="eastAsia" w:ascii="仿宋_GB2312" w:hAnsi="仿宋_GB2312" w:eastAsia="仿宋_GB2312" w:cs="仿宋_GB2312"/>
          <w:b w:val="0"/>
          <w:color w:val="auto"/>
          <w:sz w:val="28"/>
          <w:szCs w:val="28"/>
          <w:highlight w:val="none"/>
          <w:lang w:val="en-US" w:eastAsia="zh-CN"/>
        </w:rPr>
        <w:t>13.5 本合同的附件与本合同具有同等法律效力。</w:t>
      </w:r>
    </w:p>
    <w:p w14:paraId="26AA366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color w:val="auto"/>
          <w:sz w:val="24"/>
          <w:szCs w:val="24"/>
          <w:highlight w:val="none"/>
          <w:lang w:val="en-US" w:eastAsia="zh-CN"/>
        </w:rPr>
      </w:pPr>
      <w:r>
        <w:rPr>
          <w:rFonts w:hint="eastAsia" w:ascii="仿宋_GB2312" w:hAnsi="仿宋_GB2312" w:eastAsia="仿宋_GB2312" w:cs="仿宋_GB2312"/>
          <w:b w:val="0"/>
          <w:color w:val="auto"/>
          <w:sz w:val="28"/>
          <w:szCs w:val="28"/>
          <w:highlight w:val="none"/>
          <w:lang w:val="en-US" w:eastAsia="zh-CN"/>
        </w:rPr>
        <w:t>13.6 本合同执行中所使用的质量、安全、技术等各项责任条款独立成立，互不代替</w:t>
      </w:r>
      <w:r>
        <w:rPr>
          <w:rFonts w:hint="eastAsia" w:ascii="宋体" w:hAnsi="宋体" w:eastAsia="宋体" w:cs="宋体"/>
          <w:b w:val="0"/>
          <w:color w:val="auto"/>
          <w:sz w:val="24"/>
          <w:szCs w:val="24"/>
          <w:highlight w:val="none"/>
          <w:lang w:val="en-US" w:eastAsia="zh-CN"/>
        </w:rPr>
        <w:t>。</w:t>
      </w:r>
    </w:p>
    <w:p w14:paraId="5366FFE8">
      <w:pPr>
        <w:widowControl/>
        <w:spacing w:line="360" w:lineRule="auto"/>
        <w:ind w:firstLine="562" w:firstLineChars="200"/>
        <w:jc w:val="left"/>
        <w:rPr>
          <w:rFonts w:hint="eastAsia" w:ascii="仿宋_GB2312" w:hAnsi="仿宋_GB2312" w:eastAsia="仿宋_GB2312" w:cs="仿宋_GB2312"/>
          <w:b/>
          <w:sz w:val="28"/>
          <w:szCs w:val="28"/>
          <w:lang w:val="zh-CN" w:eastAsia="zh-CN"/>
        </w:rPr>
      </w:pPr>
      <w:r>
        <w:rPr>
          <w:rFonts w:hint="eastAsia" w:ascii="仿宋_GB2312" w:hAnsi="仿宋_GB2312" w:eastAsia="仿宋_GB2312" w:cs="仿宋_GB2312"/>
          <w:b/>
          <w:sz w:val="28"/>
          <w:szCs w:val="28"/>
          <w:lang w:val="zh-CN" w:eastAsia="zh-CN"/>
        </w:rPr>
        <w:t>十四</w:t>
      </w:r>
      <w:r>
        <w:rPr>
          <w:rFonts w:hint="eastAsia" w:ascii="仿宋_GB2312" w:hAnsi="仿宋_GB2312" w:eastAsia="仿宋_GB2312" w:cs="仿宋_GB2312"/>
          <w:b/>
          <w:sz w:val="28"/>
          <w:szCs w:val="28"/>
          <w:lang w:val="en-US" w:eastAsia="zh-CN"/>
        </w:rPr>
        <w:t>、</w:t>
      </w:r>
      <w:r>
        <w:rPr>
          <w:rFonts w:hint="eastAsia" w:ascii="仿宋_GB2312" w:hAnsi="仿宋_GB2312" w:eastAsia="仿宋_GB2312" w:cs="仿宋_GB2312"/>
          <w:b/>
          <w:sz w:val="28"/>
          <w:szCs w:val="28"/>
          <w:lang w:val="zh-CN" w:eastAsia="zh-CN"/>
        </w:rPr>
        <w:t>附件内容</w:t>
      </w:r>
    </w:p>
    <w:p w14:paraId="0B09151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b w:val="0"/>
          <w:color w:val="auto"/>
          <w:sz w:val="28"/>
          <w:szCs w:val="28"/>
          <w:highlight w:val="none"/>
          <w:lang w:val="en-US" w:eastAsia="zh-CN"/>
        </w:rPr>
      </w:pPr>
      <w:r>
        <w:rPr>
          <w:rFonts w:hint="eastAsia" w:ascii="仿宋_GB2312" w:hAnsi="仿宋_GB2312" w:eastAsia="仿宋_GB2312" w:cs="仿宋_GB2312"/>
          <w:b w:val="0"/>
          <w:color w:val="auto"/>
          <w:kern w:val="2"/>
          <w:sz w:val="28"/>
          <w:szCs w:val="28"/>
          <w:highlight w:val="none"/>
          <w:lang w:val="en-US" w:eastAsia="zh-CN" w:bidi="ar-SA"/>
        </w:rPr>
        <w:t>附</w:t>
      </w:r>
      <w:r>
        <w:rPr>
          <w:rFonts w:hint="eastAsia" w:ascii="仿宋_GB2312" w:hAnsi="仿宋_GB2312" w:eastAsia="仿宋_GB2312" w:cs="仿宋_GB2312"/>
          <w:b w:val="0"/>
          <w:color w:val="auto"/>
          <w:sz w:val="28"/>
          <w:szCs w:val="28"/>
          <w:highlight w:val="none"/>
          <w:lang w:val="en-US" w:eastAsia="zh-CN"/>
        </w:rPr>
        <w:t>件1：安全协议书</w:t>
      </w:r>
    </w:p>
    <w:p w14:paraId="35B2FEC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b w:val="0"/>
          <w:color w:val="auto"/>
          <w:sz w:val="28"/>
          <w:szCs w:val="28"/>
          <w:highlight w:val="none"/>
          <w:lang w:val="en-US" w:eastAsia="zh-CN"/>
        </w:rPr>
      </w:pPr>
      <w:r>
        <w:rPr>
          <w:rFonts w:hint="eastAsia" w:ascii="仿宋_GB2312" w:hAnsi="仿宋_GB2312" w:eastAsia="仿宋_GB2312" w:cs="仿宋_GB2312"/>
          <w:b w:val="0"/>
          <w:color w:val="auto"/>
          <w:sz w:val="28"/>
          <w:szCs w:val="28"/>
          <w:highlight w:val="none"/>
          <w:lang w:val="en-US" w:eastAsia="zh-CN"/>
        </w:rPr>
        <w:t>附件2：保密确认书</w:t>
      </w:r>
    </w:p>
    <w:p w14:paraId="14B3F28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b w:val="0"/>
          <w:color w:val="auto"/>
          <w:sz w:val="28"/>
          <w:szCs w:val="28"/>
          <w:highlight w:val="none"/>
          <w:lang w:val="en-US" w:eastAsia="zh-CN"/>
        </w:rPr>
      </w:pPr>
      <w:r>
        <w:rPr>
          <w:rFonts w:hint="eastAsia" w:ascii="仿宋_GB2312" w:hAnsi="仿宋_GB2312" w:eastAsia="仿宋_GB2312" w:cs="仿宋_GB2312"/>
          <w:b w:val="0"/>
          <w:color w:val="auto"/>
          <w:sz w:val="28"/>
          <w:szCs w:val="28"/>
          <w:highlight w:val="none"/>
          <w:lang w:val="en-US" w:eastAsia="zh-CN"/>
        </w:rPr>
        <w:t>附件3：投标人廉洁承诺书</w:t>
      </w:r>
    </w:p>
    <w:p w14:paraId="5E889B9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b w:val="0"/>
          <w:color w:val="auto"/>
          <w:sz w:val="28"/>
          <w:szCs w:val="28"/>
          <w:highlight w:val="none"/>
          <w:lang w:val="en-US" w:eastAsia="zh-CN"/>
        </w:rPr>
      </w:pPr>
      <w:r>
        <w:rPr>
          <w:rFonts w:hint="eastAsia" w:ascii="仿宋_GB2312" w:hAnsi="仿宋_GB2312" w:eastAsia="仿宋_GB2312" w:cs="仿宋_GB2312"/>
          <w:b w:val="0"/>
          <w:color w:val="auto"/>
          <w:sz w:val="28"/>
          <w:szCs w:val="28"/>
          <w:highlight w:val="none"/>
          <w:lang w:val="en-US" w:eastAsia="zh-CN"/>
        </w:rPr>
        <w:t>附件4：诚信交易承诺书</w:t>
      </w:r>
    </w:p>
    <w:p w14:paraId="77136A5F">
      <w:pPr>
        <w:pStyle w:val="8"/>
        <w:widowControl/>
        <w:spacing w:line="360" w:lineRule="auto"/>
        <w:jc w:val="both"/>
        <w:rPr>
          <w:rFonts w:hint="eastAsia" w:ascii="宋体" w:hAnsi="宋体" w:eastAsia="宋体" w:cs="宋体"/>
          <w:b w:val="0"/>
          <w:color w:val="auto"/>
          <w:kern w:val="2"/>
          <w:sz w:val="24"/>
          <w:szCs w:val="24"/>
          <w:highlight w:val="none"/>
          <w:lang w:val="en-US" w:eastAsia="zh-CN" w:bidi="ar-SA"/>
        </w:rPr>
      </w:pPr>
    </w:p>
    <w:p w14:paraId="5DA4ADCF">
      <w:pPr>
        <w:pStyle w:val="3"/>
        <w:spacing w:line="360" w:lineRule="auto"/>
        <w:rPr>
          <w:rFonts w:hint="eastAsia" w:ascii="宋体" w:hAnsi="宋体" w:eastAsia="宋体" w:cs="宋体"/>
          <w:sz w:val="24"/>
          <w:szCs w:val="24"/>
        </w:rPr>
      </w:pPr>
    </w:p>
    <w:p w14:paraId="274204FB">
      <w:pPr>
        <w:spacing w:line="360" w:lineRule="auto"/>
        <w:rPr>
          <w:rFonts w:hint="eastAsia" w:ascii="宋体" w:hAnsi="宋体" w:eastAsia="宋体" w:cs="宋体"/>
          <w:sz w:val="24"/>
          <w:szCs w:val="24"/>
        </w:rPr>
      </w:pPr>
    </w:p>
    <w:p w14:paraId="6982DE0E">
      <w:pPr>
        <w:spacing w:line="360" w:lineRule="auto"/>
        <w:rPr>
          <w:rFonts w:hint="eastAsia" w:ascii="宋体" w:hAnsi="宋体" w:eastAsia="宋体" w:cs="宋体"/>
          <w:sz w:val="24"/>
          <w:szCs w:val="24"/>
        </w:rPr>
      </w:pPr>
    </w:p>
    <w:p w14:paraId="2247C91F">
      <w:pPr>
        <w:spacing w:line="360" w:lineRule="auto"/>
        <w:rPr>
          <w:rFonts w:hint="eastAsia" w:ascii="宋体" w:hAnsi="宋体" w:eastAsia="宋体" w:cs="宋体"/>
          <w:sz w:val="24"/>
          <w:szCs w:val="24"/>
        </w:rPr>
      </w:pPr>
    </w:p>
    <w:p w14:paraId="1200488B">
      <w:pPr>
        <w:spacing w:line="360" w:lineRule="auto"/>
        <w:rPr>
          <w:rFonts w:hint="eastAsia" w:ascii="宋体" w:hAnsi="宋体" w:eastAsia="宋体" w:cs="宋体"/>
          <w:sz w:val="24"/>
          <w:szCs w:val="24"/>
        </w:rPr>
      </w:pPr>
    </w:p>
    <w:p w14:paraId="3E6A19C9">
      <w:pPr>
        <w:spacing w:line="360" w:lineRule="auto"/>
        <w:rPr>
          <w:rFonts w:hint="eastAsia" w:ascii="宋体" w:hAnsi="宋体" w:eastAsia="宋体" w:cs="宋体"/>
          <w:sz w:val="24"/>
          <w:szCs w:val="24"/>
        </w:rPr>
      </w:pPr>
    </w:p>
    <w:p w14:paraId="01EF3E6B">
      <w:pPr>
        <w:spacing w:line="360" w:lineRule="auto"/>
        <w:rPr>
          <w:rFonts w:hint="eastAsia" w:ascii="宋体" w:hAnsi="宋体" w:eastAsia="宋体" w:cs="宋体"/>
          <w:sz w:val="24"/>
          <w:szCs w:val="24"/>
        </w:rPr>
      </w:pPr>
    </w:p>
    <w:p w14:paraId="27EAACE1">
      <w:pPr>
        <w:spacing w:line="240" w:lineRule="auto"/>
        <w:rPr>
          <w:rFonts w:hint="eastAsia" w:ascii="宋体" w:hAnsi="宋体" w:eastAsia="宋体" w:cs="宋体"/>
          <w:snapToGrid w:val="0"/>
          <w:color w:val="000000"/>
          <w:kern w:val="0"/>
          <w:sz w:val="24"/>
          <w:szCs w:val="24"/>
          <w:highlight w:val="none"/>
          <w:lang w:val="en-US" w:eastAsia="zh-CN" w:bidi="ar-SA"/>
        </w:rPr>
      </w:pPr>
    </w:p>
    <w:p w14:paraId="12FB6C2A">
      <w:pPr>
        <w:spacing w:line="240" w:lineRule="auto"/>
        <w:rPr>
          <w:rFonts w:hint="eastAsia" w:ascii="宋体" w:hAnsi="宋体" w:eastAsia="宋体" w:cs="宋体"/>
          <w:snapToGrid w:val="0"/>
          <w:color w:val="000000"/>
          <w:kern w:val="0"/>
          <w:sz w:val="24"/>
          <w:szCs w:val="24"/>
          <w:highlight w:val="none"/>
          <w:lang w:val="en-US" w:eastAsia="zh-CN" w:bidi="ar-SA"/>
        </w:rPr>
      </w:pPr>
    </w:p>
    <w:p w14:paraId="177E877F">
      <w:pPr>
        <w:spacing w:line="240" w:lineRule="auto"/>
        <w:rPr>
          <w:rFonts w:hint="eastAsia" w:ascii="宋体" w:hAnsi="宋体" w:eastAsia="宋体" w:cs="宋体"/>
          <w:sz w:val="24"/>
          <w:szCs w:val="24"/>
          <w:lang w:val="en-US" w:eastAsia="zh-CN"/>
        </w:rPr>
      </w:pPr>
      <w:r>
        <w:rPr>
          <w:rFonts w:hint="eastAsia" w:ascii="宋体" w:hAnsi="宋体" w:eastAsia="宋体" w:cs="宋体"/>
          <w:snapToGrid w:val="0"/>
          <w:color w:val="000000"/>
          <w:kern w:val="0"/>
          <w:sz w:val="24"/>
          <w:szCs w:val="24"/>
          <w:highlight w:val="none"/>
          <w:lang w:val="en-US" w:eastAsia="zh-CN" w:bidi="ar-SA"/>
        </w:rPr>
        <w:t>附件一：</w:t>
      </w:r>
    </w:p>
    <w:p w14:paraId="6249624F">
      <w:pPr>
        <w:spacing w:line="360" w:lineRule="auto"/>
        <w:jc w:val="center"/>
        <w:outlineLvl w:val="0"/>
        <w:rPr>
          <w:rFonts w:hint="eastAsia" w:ascii="宋体" w:hAnsi="宋体" w:eastAsia="宋体" w:cs="宋体"/>
          <w:b/>
          <w:bCs/>
          <w:sz w:val="24"/>
          <w:szCs w:val="24"/>
        </w:rPr>
      </w:pPr>
      <w:bookmarkStart w:id="34" w:name="_Toc10390"/>
      <w:bookmarkStart w:id="35" w:name="_Toc3301"/>
      <w:bookmarkStart w:id="36" w:name="_Toc29954"/>
      <w:r>
        <w:rPr>
          <w:rFonts w:hint="eastAsia" w:ascii="宋体" w:hAnsi="宋体" w:eastAsia="宋体" w:cs="宋体"/>
          <w:b/>
          <w:bCs/>
          <w:sz w:val="32"/>
          <w:szCs w:val="32"/>
        </w:rPr>
        <w:t>安全协议书</w:t>
      </w:r>
      <w:bookmarkEnd w:id="34"/>
      <w:bookmarkEnd w:id="35"/>
      <w:bookmarkEnd w:id="36"/>
    </w:p>
    <w:p w14:paraId="758FFAAC">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 w:val="0"/>
          <w:bCs/>
          <w:color w:val="auto"/>
          <w:kern w:val="2"/>
          <w:sz w:val="24"/>
          <w:szCs w:val="24"/>
          <w:highlight w:val="none"/>
          <w:lang w:val="en-US" w:eastAsia="zh-CN" w:bidi="ar-SA"/>
        </w:rPr>
      </w:pPr>
      <w:r>
        <w:rPr>
          <w:rFonts w:hint="eastAsia" w:ascii="宋体" w:hAnsi="宋体" w:eastAsia="宋体" w:cs="宋体"/>
          <w:snapToGrid w:val="0"/>
          <w:color w:val="000000"/>
          <w:kern w:val="0"/>
          <w:sz w:val="24"/>
          <w:szCs w:val="24"/>
          <w:highlight w:val="none"/>
          <w:lang w:val="en-US" w:eastAsia="zh-CN" w:bidi="ar-SA"/>
        </w:rPr>
        <w:t>项目名称：</w:t>
      </w:r>
      <w:r>
        <w:rPr>
          <w:rFonts w:hint="eastAsia" w:ascii="宋体" w:hAnsi="宋体" w:cs="宋体"/>
          <w:color w:val="auto"/>
          <w:sz w:val="24"/>
          <w:szCs w:val="24"/>
          <w:lang w:val="en-US" w:eastAsia="zh-CN"/>
        </w:rPr>
        <w:t>靖远煤电清洁高效气化气综合利用(搬迁改造)项目一期工程</w:t>
      </w:r>
      <w:r>
        <w:rPr>
          <w:rFonts w:hint="eastAsia" w:ascii="宋体" w:hAnsi="宋体" w:eastAsia="宋体" w:cs="宋体"/>
          <w:color w:val="auto"/>
          <w:sz w:val="24"/>
          <w:szCs w:val="24"/>
          <w:lang w:val="en-US" w:eastAsia="zh-CN"/>
        </w:rPr>
        <w:t>竣工</w:t>
      </w:r>
      <w:r>
        <w:rPr>
          <w:rFonts w:hint="eastAsia" w:ascii="宋体" w:hAnsi="宋体" w:eastAsia="宋体" w:cs="宋体"/>
          <w:color w:val="auto"/>
          <w:sz w:val="24"/>
          <w:szCs w:val="24"/>
        </w:rPr>
        <w:t>环境保护验收</w:t>
      </w:r>
    </w:p>
    <w:p w14:paraId="4E87F733">
      <w:pPr>
        <w:spacing w:line="360" w:lineRule="auto"/>
        <w:ind w:firstLine="480" w:firstLineChars="200"/>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snapToGrid w:val="0"/>
          <w:color w:val="000000"/>
          <w:kern w:val="0"/>
          <w:sz w:val="24"/>
          <w:szCs w:val="24"/>
          <w:highlight w:val="none"/>
          <w:lang w:val="en-US" w:eastAsia="zh-CN" w:bidi="ar-SA"/>
        </w:rPr>
        <w:t>甲方：靖煤煤业集团刘化化工有限公司</w:t>
      </w:r>
    </w:p>
    <w:p w14:paraId="2B7B8456">
      <w:pPr>
        <w:pStyle w:val="5"/>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snapToGrid w:val="0"/>
          <w:color w:val="000000"/>
          <w:kern w:val="0"/>
          <w:sz w:val="24"/>
          <w:szCs w:val="24"/>
          <w:highlight w:val="none"/>
          <w:lang w:val="en-US" w:eastAsia="zh-CN" w:bidi="ar-SA"/>
        </w:rPr>
        <w:t>乙方：</w:t>
      </w:r>
      <w:r>
        <w:rPr>
          <w:rFonts w:hint="eastAsia" w:ascii="宋体" w:hAnsi="宋体" w:eastAsia="宋体" w:cs="宋体"/>
          <w:snapToGrid w:val="0"/>
          <w:color w:val="000000"/>
          <w:kern w:val="0"/>
          <w:sz w:val="24"/>
          <w:szCs w:val="24"/>
          <w:highlight w:val="none"/>
          <w:u w:val="none"/>
          <w:lang w:val="en-US" w:eastAsia="zh-CN" w:bidi="ar-SA"/>
        </w:rPr>
        <w:t xml:space="preserve">                          </w:t>
      </w:r>
      <w:r>
        <w:rPr>
          <w:rFonts w:hint="eastAsia" w:ascii="宋体" w:hAnsi="宋体" w:eastAsia="宋体" w:cs="宋体"/>
          <w:snapToGrid w:val="0"/>
          <w:color w:val="000000"/>
          <w:kern w:val="0"/>
          <w:sz w:val="24"/>
          <w:szCs w:val="24"/>
          <w:highlight w:val="none"/>
          <w:lang w:val="en-US" w:eastAsia="zh-CN" w:bidi="ar-SA"/>
        </w:rPr>
        <w:t xml:space="preserve">                    </w:t>
      </w:r>
    </w:p>
    <w:p w14:paraId="1CAD440F">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snapToGrid w:val="0"/>
          <w:color w:val="000000"/>
          <w:kern w:val="0"/>
          <w:sz w:val="24"/>
          <w:szCs w:val="24"/>
          <w:highlight w:val="none"/>
          <w:lang w:val="en-US" w:eastAsia="zh-CN" w:bidi="ar-SA"/>
        </w:rPr>
        <w:t>合同名称：</w:t>
      </w:r>
      <w:r>
        <w:rPr>
          <w:rFonts w:hint="eastAsia" w:ascii="宋体" w:hAnsi="宋体" w:cs="宋体"/>
          <w:color w:val="auto"/>
          <w:sz w:val="24"/>
          <w:szCs w:val="24"/>
          <w:lang w:val="en-US" w:eastAsia="zh-CN"/>
        </w:rPr>
        <w:t>靖远煤电清洁高效气化气综合利用(搬迁改造)项目一期工程</w:t>
      </w:r>
      <w:r>
        <w:rPr>
          <w:rFonts w:hint="eastAsia" w:ascii="宋体" w:hAnsi="宋体" w:eastAsia="宋体" w:cs="宋体"/>
          <w:color w:val="auto"/>
          <w:sz w:val="24"/>
          <w:szCs w:val="24"/>
          <w:lang w:val="en-US" w:eastAsia="zh-CN"/>
        </w:rPr>
        <w:t>竣工</w:t>
      </w:r>
      <w:r>
        <w:rPr>
          <w:rFonts w:hint="eastAsia" w:ascii="宋体" w:hAnsi="宋体" w:eastAsia="宋体" w:cs="宋体"/>
          <w:color w:val="auto"/>
          <w:sz w:val="24"/>
          <w:szCs w:val="24"/>
        </w:rPr>
        <w:t>环境保护验收</w:t>
      </w:r>
      <w:r>
        <w:rPr>
          <w:rFonts w:hint="eastAsia" w:ascii="宋体" w:hAnsi="宋体" w:cs="宋体"/>
          <w:color w:val="auto"/>
          <w:sz w:val="24"/>
          <w:szCs w:val="24"/>
          <w:lang w:eastAsia="zh-CN"/>
        </w:rPr>
        <w:t>服务合同</w:t>
      </w:r>
    </w:p>
    <w:p w14:paraId="2DCEE185">
      <w:pPr>
        <w:spacing w:line="360" w:lineRule="auto"/>
        <w:ind w:firstLine="480" w:firstLineChars="200"/>
        <w:rPr>
          <w:rFonts w:hint="eastAsia" w:ascii="宋体" w:hAnsi="宋体" w:eastAsia="宋体" w:cs="宋体"/>
          <w:sz w:val="24"/>
          <w:szCs w:val="24"/>
        </w:rPr>
      </w:pPr>
      <w:r>
        <w:rPr>
          <w:rFonts w:hint="eastAsia" w:ascii="宋体" w:hAnsi="宋体" w:eastAsia="宋体" w:cs="宋体"/>
          <w:snapToGrid w:val="0"/>
          <w:color w:val="000000"/>
          <w:kern w:val="0"/>
          <w:sz w:val="24"/>
          <w:szCs w:val="24"/>
          <w:highlight w:val="none"/>
          <w:lang w:val="en-US" w:eastAsia="zh-CN" w:bidi="ar-SA"/>
        </w:rPr>
        <w:t>合同编号：</w:t>
      </w:r>
      <w:r>
        <w:rPr>
          <w:rFonts w:hint="eastAsia" w:ascii="宋体" w:hAnsi="宋体" w:eastAsia="宋体" w:cs="宋体"/>
          <w:sz w:val="24"/>
          <w:szCs w:val="24"/>
          <w:highlight w:val="none"/>
        </w:rPr>
        <w:t xml:space="preserve">   </w:t>
      </w:r>
      <w:r>
        <w:rPr>
          <w:rFonts w:hint="eastAsia" w:ascii="宋体" w:hAnsi="宋体" w:eastAsia="宋体" w:cs="宋体"/>
          <w:sz w:val="24"/>
          <w:szCs w:val="24"/>
        </w:rPr>
        <w:t xml:space="preserve">                          </w:t>
      </w:r>
    </w:p>
    <w:p w14:paraId="3AC97CDD">
      <w:pPr>
        <w:spacing w:line="360" w:lineRule="auto"/>
        <w:ind w:firstLine="482" w:firstLineChars="200"/>
        <w:outlineLvl w:val="1"/>
        <w:rPr>
          <w:rFonts w:hint="eastAsia" w:ascii="宋体" w:hAnsi="宋体" w:eastAsia="宋体" w:cs="宋体"/>
          <w:b/>
          <w:sz w:val="24"/>
          <w:szCs w:val="24"/>
        </w:rPr>
      </w:pPr>
      <w:bookmarkStart w:id="37" w:name="_Toc8951"/>
      <w:bookmarkStart w:id="38" w:name="_Toc20176"/>
      <w:bookmarkStart w:id="39" w:name="_Toc24498"/>
      <w:r>
        <w:rPr>
          <w:rFonts w:hint="eastAsia" w:ascii="宋体" w:hAnsi="宋体" w:eastAsia="宋体" w:cs="宋体"/>
          <w:b/>
          <w:sz w:val="24"/>
          <w:szCs w:val="24"/>
        </w:rPr>
        <w:t>1</w:t>
      </w:r>
      <w:r>
        <w:rPr>
          <w:rFonts w:hint="eastAsia" w:ascii="宋体" w:hAnsi="宋体" w:eastAsia="宋体" w:cs="宋体"/>
          <w:b/>
          <w:sz w:val="24"/>
          <w:szCs w:val="24"/>
          <w:lang w:eastAsia="zh-CN"/>
        </w:rPr>
        <w:t>.</w:t>
      </w:r>
      <w:r>
        <w:rPr>
          <w:rFonts w:hint="eastAsia" w:ascii="宋体" w:hAnsi="宋体" w:eastAsia="宋体" w:cs="宋体"/>
          <w:b/>
          <w:sz w:val="24"/>
          <w:szCs w:val="24"/>
        </w:rPr>
        <w:t>总则</w:t>
      </w:r>
      <w:bookmarkEnd w:id="37"/>
      <w:bookmarkEnd w:id="38"/>
      <w:bookmarkEnd w:id="39"/>
    </w:p>
    <w:p w14:paraId="628E6B5C">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napToGrid w:val="0"/>
          <w:color w:val="000000"/>
          <w:kern w:val="0"/>
          <w:sz w:val="24"/>
          <w:szCs w:val="24"/>
          <w:highlight w:val="none"/>
          <w:lang w:val="en-US" w:eastAsia="zh-CN" w:bidi="ar-SA"/>
        </w:rPr>
        <w:t xml:space="preserve">  为贯彻“安全第一，预防为主，综合治理”的方针，明确甲、乙双方在外包项目实施过程中的权利、义务和安全责任，加强和规范外包项目安全管理工作，根据国家及地方有关法律、法规、条例、规定和甲方安全生产有关制度规定，甲、乙双方经过充分协商，签订本安全协议。</w:t>
      </w:r>
    </w:p>
    <w:p w14:paraId="44155C6C">
      <w:pPr>
        <w:spacing w:line="360" w:lineRule="auto"/>
        <w:ind w:firstLine="482" w:firstLineChars="200"/>
        <w:outlineLvl w:val="1"/>
        <w:rPr>
          <w:rFonts w:hint="eastAsia" w:ascii="宋体" w:hAnsi="宋体" w:eastAsia="宋体" w:cs="宋体"/>
          <w:b/>
          <w:sz w:val="24"/>
          <w:szCs w:val="24"/>
        </w:rPr>
      </w:pPr>
      <w:bookmarkStart w:id="40" w:name="_Toc25015"/>
      <w:bookmarkStart w:id="41" w:name="_Toc19097"/>
      <w:bookmarkStart w:id="42" w:name="_Toc16175"/>
      <w:r>
        <w:rPr>
          <w:rFonts w:hint="eastAsia" w:ascii="宋体" w:hAnsi="宋体" w:eastAsia="宋体" w:cs="宋体"/>
          <w:b/>
          <w:sz w:val="24"/>
          <w:szCs w:val="24"/>
        </w:rPr>
        <w:t>2</w:t>
      </w:r>
      <w:r>
        <w:rPr>
          <w:rFonts w:hint="eastAsia" w:ascii="宋体" w:hAnsi="宋体" w:eastAsia="宋体" w:cs="宋体"/>
          <w:b/>
          <w:sz w:val="24"/>
          <w:szCs w:val="24"/>
          <w:lang w:eastAsia="zh-CN"/>
        </w:rPr>
        <w:t>.</w:t>
      </w:r>
      <w:r>
        <w:rPr>
          <w:rFonts w:hint="eastAsia" w:ascii="宋体" w:hAnsi="宋体" w:eastAsia="宋体" w:cs="宋体"/>
          <w:b/>
          <w:sz w:val="24"/>
          <w:szCs w:val="24"/>
        </w:rPr>
        <w:t>安全目标</w:t>
      </w:r>
      <w:bookmarkEnd w:id="40"/>
      <w:bookmarkEnd w:id="41"/>
      <w:bookmarkEnd w:id="42"/>
    </w:p>
    <w:p w14:paraId="1CDF643F">
      <w:pPr>
        <w:numPr>
          <w:ilvl w:val="0"/>
          <w:numId w:val="0"/>
        </w:numPr>
        <w:spacing w:line="360" w:lineRule="auto"/>
        <w:ind w:firstLine="480" w:firstLineChars="200"/>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snapToGrid w:val="0"/>
          <w:color w:val="000000"/>
          <w:kern w:val="0"/>
          <w:sz w:val="24"/>
          <w:szCs w:val="24"/>
          <w:highlight w:val="none"/>
          <w:lang w:val="en-US" w:eastAsia="zh-CN" w:bidi="ar-SA"/>
        </w:rPr>
        <w:t>（1）不发生人身轻伤及以上事故；</w:t>
      </w:r>
    </w:p>
    <w:p w14:paraId="581145E4">
      <w:pPr>
        <w:numPr>
          <w:ilvl w:val="0"/>
          <w:numId w:val="0"/>
        </w:numPr>
        <w:spacing w:line="360" w:lineRule="auto"/>
        <w:ind w:firstLine="480" w:firstLineChars="200"/>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snapToGrid w:val="0"/>
          <w:color w:val="000000"/>
          <w:kern w:val="0"/>
          <w:sz w:val="24"/>
          <w:szCs w:val="24"/>
          <w:highlight w:val="none"/>
          <w:lang w:val="en-US" w:eastAsia="zh-CN" w:bidi="ar-SA"/>
        </w:rPr>
        <w:t>（2）不发生设备损坏事故；</w:t>
      </w:r>
    </w:p>
    <w:p w14:paraId="5F6168BA">
      <w:pPr>
        <w:numPr>
          <w:ilvl w:val="0"/>
          <w:numId w:val="0"/>
        </w:numPr>
        <w:spacing w:line="360" w:lineRule="auto"/>
        <w:ind w:firstLine="480" w:firstLineChars="200"/>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snapToGrid w:val="0"/>
          <w:color w:val="000000"/>
          <w:kern w:val="0"/>
          <w:sz w:val="24"/>
          <w:szCs w:val="24"/>
          <w:highlight w:val="none"/>
          <w:lang w:val="en-US" w:eastAsia="zh-CN" w:bidi="ar-SA"/>
        </w:rPr>
        <w:t>（3）不发生火灾事故；</w:t>
      </w:r>
    </w:p>
    <w:p w14:paraId="5703CA18">
      <w:pPr>
        <w:numPr>
          <w:ilvl w:val="0"/>
          <w:numId w:val="0"/>
        </w:numPr>
        <w:spacing w:line="360" w:lineRule="auto"/>
        <w:ind w:firstLine="480" w:firstLineChars="200"/>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snapToGrid w:val="0"/>
          <w:color w:val="000000"/>
          <w:kern w:val="0"/>
          <w:sz w:val="24"/>
          <w:szCs w:val="24"/>
          <w:highlight w:val="none"/>
          <w:lang w:val="en-US" w:eastAsia="zh-CN" w:bidi="ar-SA"/>
        </w:rPr>
        <w:t>（4）不发生误操作事故；</w:t>
      </w:r>
    </w:p>
    <w:p w14:paraId="20A5AD27">
      <w:pPr>
        <w:numPr>
          <w:ilvl w:val="0"/>
          <w:numId w:val="0"/>
        </w:numPr>
        <w:spacing w:line="360" w:lineRule="auto"/>
        <w:ind w:firstLine="480" w:firstLineChars="200"/>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snapToGrid w:val="0"/>
          <w:color w:val="000000"/>
          <w:kern w:val="0"/>
          <w:sz w:val="24"/>
          <w:szCs w:val="24"/>
          <w:highlight w:val="none"/>
          <w:lang w:val="en-US" w:eastAsia="zh-CN" w:bidi="ar-SA"/>
        </w:rPr>
        <w:t>（5）不发生影响生产装置安全稳定运行的不安全事件；</w:t>
      </w:r>
    </w:p>
    <w:p w14:paraId="25B13F16">
      <w:pPr>
        <w:numPr>
          <w:ilvl w:val="0"/>
          <w:numId w:val="0"/>
        </w:numPr>
        <w:spacing w:line="360" w:lineRule="auto"/>
        <w:ind w:firstLine="480" w:firstLineChars="200"/>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snapToGrid w:val="0"/>
          <w:color w:val="000000"/>
          <w:kern w:val="0"/>
          <w:sz w:val="24"/>
          <w:szCs w:val="24"/>
          <w:highlight w:val="none"/>
          <w:lang w:val="en-US" w:eastAsia="zh-CN" w:bidi="ar-SA"/>
        </w:rPr>
        <w:t>（6）不发生大型施工机械损坏事故；</w:t>
      </w:r>
    </w:p>
    <w:p w14:paraId="447A09CB">
      <w:pPr>
        <w:numPr>
          <w:ilvl w:val="0"/>
          <w:numId w:val="0"/>
        </w:numPr>
        <w:spacing w:line="360" w:lineRule="auto"/>
        <w:ind w:firstLine="480" w:firstLineChars="200"/>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snapToGrid w:val="0"/>
          <w:color w:val="000000"/>
          <w:kern w:val="0"/>
          <w:sz w:val="24"/>
          <w:szCs w:val="24"/>
          <w:highlight w:val="none"/>
          <w:lang w:val="en-US" w:eastAsia="zh-CN" w:bidi="ar-SA"/>
        </w:rPr>
        <w:t>（7）不发生交通事故；</w:t>
      </w:r>
    </w:p>
    <w:p w14:paraId="0323B8AA">
      <w:pPr>
        <w:numPr>
          <w:ilvl w:val="0"/>
          <w:numId w:val="0"/>
        </w:numPr>
        <w:spacing w:line="360" w:lineRule="auto"/>
        <w:ind w:firstLine="480" w:firstLineChars="200"/>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snapToGrid w:val="0"/>
          <w:color w:val="000000"/>
          <w:kern w:val="0"/>
          <w:sz w:val="24"/>
          <w:szCs w:val="24"/>
          <w:highlight w:val="none"/>
          <w:lang w:val="en-US" w:eastAsia="zh-CN" w:bidi="ar-SA"/>
        </w:rPr>
        <w:t>（8）不发生环保事件；</w:t>
      </w:r>
    </w:p>
    <w:p w14:paraId="56E72981">
      <w:pPr>
        <w:numPr>
          <w:ilvl w:val="0"/>
          <w:numId w:val="0"/>
        </w:numPr>
        <w:spacing w:line="360" w:lineRule="auto"/>
        <w:ind w:firstLine="480" w:firstLineChars="200"/>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snapToGrid w:val="0"/>
          <w:color w:val="000000"/>
          <w:kern w:val="0"/>
          <w:sz w:val="24"/>
          <w:szCs w:val="24"/>
          <w:highlight w:val="none"/>
          <w:lang w:val="en-US" w:eastAsia="zh-CN" w:bidi="ar-SA"/>
        </w:rPr>
        <w:t>（9）不发生职业健康事件；</w:t>
      </w:r>
    </w:p>
    <w:p w14:paraId="47041C33">
      <w:pPr>
        <w:numPr>
          <w:ilvl w:val="0"/>
          <w:numId w:val="0"/>
        </w:numPr>
        <w:spacing w:line="360" w:lineRule="auto"/>
        <w:ind w:firstLine="480" w:firstLineChars="200"/>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snapToGrid w:val="0"/>
          <w:color w:val="000000"/>
          <w:kern w:val="0"/>
          <w:sz w:val="24"/>
          <w:szCs w:val="24"/>
          <w:highlight w:val="none"/>
          <w:lang w:val="en-US" w:eastAsia="zh-CN" w:bidi="ar-SA"/>
        </w:rPr>
        <w:t>（10）不发生违法、违纪等治安事件。</w:t>
      </w:r>
    </w:p>
    <w:p w14:paraId="25B15E69">
      <w:pPr>
        <w:spacing w:line="360" w:lineRule="auto"/>
        <w:ind w:firstLine="482" w:firstLineChars="200"/>
        <w:outlineLvl w:val="1"/>
        <w:rPr>
          <w:rFonts w:hint="eastAsia" w:ascii="宋体" w:hAnsi="宋体" w:eastAsia="宋体" w:cs="宋体"/>
          <w:b/>
          <w:sz w:val="24"/>
          <w:szCs w:val="24"/>
        </w:rPr>
      </w:pPr>
      <w:bookmarkStart w:id="43" w:name="_Toc6127"/>
      <w:bookmarkStart w:id="44" w:name="_Toc7987"/>
      <w:bookmarkStart w:id="45" w:name="_Toc8555"/>
      <w:r>
        <w:rPr>
          <w:rFonts w:hint="eastAsia" w:ascii="宋体" w:hAnsi="宋体" w:eastAsia="宋体" w:cs="宋体"/>
          <w:b/>
          <w:sz w:val="24"/>
          <w:szCs w:val="24"/>
        </w:rPr>
        <w:t>3</w:t>
      </w:r>
      <w:r>
        <w:rPr>
          <w:rFonts w:hint="eastAsia" w:ascii="宋体" w:hAnsi="宋体" w:eastAsia="宋体" w:cs="宋体"/>
          <w:b/>
          <w:sz w:val="24"/>
          <w:szCs w:val="24"/>
          <w:lang w:eastAsia="zh-CN"/>
        </w:rPr>
        <w:t>.</w:t>
      </w:r>
      <w:r>
        <w:rPr>
          <w:rFonts w:hint="eastAsia" w:ascii="宋体" w:hAnsi="宋体" w:eastAsia="宋体" w:cs="宋体"/>
          <w:b/>
          <w:sz w:val="24"/>
          <w:szCs w:val="24"/>
        </w:rPr>
        <w:t>安全职责划分</w:t>
      </w:r>
      <w:bookmarkEnd w:id="43"/>
      <w:bookmarkEnd w:id="44"/>
      <w:bookmarkEnd w:id="45"/>
    </w:p>
    <w:p w14:paraId="12BEBD1C">
      <w:pPr>
        <w:spacing w:line="360" w:lineRule="auto"/>
        <w:ind w:firstLine="480" w:firstLineChars="200"/>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snapToGrid w:val="0"/>
          <w:color w:val="000000"/>
          <w:kern w:val="0"/>
          <w:sz w:val="24"/>
          <w:szCs w:val="24"/>
          <w:highlight w:val="none"/>
          <w:lang w:val="en-US" w:eastAsia="zh-CN" w:bidi="ar-SA"/>
        </w:rPr>
        <w:t xml:space="preserve">3.1 </w:t>
      </w:r>
      <w:bookmarkStart w:id="46" w:name="_Toc486344857"/>
      <w:bookmarkStart w:id="47" w:name="_Toc469919300"/>
      <w:bookmarkStart w:id="48" w:name="_Toc469918384"/>
      <w:bookmarkStart w:id="49" w:name="_Toc485377403"/>
      <w:bookmarkStart w:id="50" w:name="_Toc469918203"/>
      <w:bookmarkStart w:id="51" w:name="_Toc484673753"/>
      <w:bookmarkStart w:id="52" w:name="_Toc469918202"/>
      <w:bookmarkStart w:id="53" w:name="_Toc469918383"/>
      <w:bookmarkStart w:id="54" w:name="_Toc469919301"/>
      <w:r>
        <w:rPr>
          <w:rFonts w:hint="eastAsia" w:ascii="宋体" w:hAnsi="宋体" w:eastAsia="宋体" w:cs="宋体"/>
          <w:snapToGrid w:val="0"/>
          <w:color w:val="000000"/>
          <w:kern w:val="0"/>
          <w:sz w:val="24"/>
          <w:szCs w:val="24"/>
          <w:highlight w:val="none"/>
          <w:lang w:val="en-US" w:eastAsia="zh-CN" w:bidi="ar-SA"/>
        </w:rPr>
        <w:t>甲方对外包项目安全生产承担管理责任。甲方应将外包项目纳入本单位日常安全生产管理体系，统一组织，统一协调，统一管理，监督和指导乙方履行外包项目安全生产责任。</w:t>
      </w:r>
    </w:p>
    <w:p w14:paraId="210E25D6">
      <w:pPr>
        <w:adjustRightInd w:val="0"/>
        <w:spacing w:line="360" w:lineRule="auto"/>
        <w:ind w:firstLine="480" w:firstLineChars="200"/>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snapToGrid w:val="0"/>
          <w:color w:val="000000"/>
          <w:kern w:val="0"/>
          <w:sz w:val="24"/>
          <w:szCs w:val="24"/>
          <w:highlight w:val="none"/>
          <w:lang w:val="en-US" w:eastAsia="zh-CN" w:bidi="ar-SA"/>
        </w:rPr>
        <w:t>3.2 乙方应当按照国家法律法规和标准规范开展承包工作，对其作业现场的安全生产负责。实行总承包的项目，乙方应当按照合同和本协议规定，履行甲方对外包项目的安全生产责任，对外包项目施工现场的安全生产负总责，对分包单位安全生产负连带责任。</w:t>
      </w:r>
    </w:p>
    <w:p w14:paraId="3901C8E3">
      <w:pPr>
        <w:adjustRightInd w:val="0"/>
        <w:spacing w:line="360" w:lineRule="auto"/>
        <w:ind w:firstLine="482" w:firstLineChars="200"/>
        <w:outlineLvl w:val="1"/>
        <w:rPr>
          <w:rFonts w:hint="eastAsia" w:ascii="宋体" w:hAnsi="宋体" w:eastAsia="宋体" w:cs="宋体"/>
          <w:b/>
          <w:sz w:val="24"/>
          <w:szCs w:val="24"/>
        </w:rPr>
      </w:pPr>
      <w:bookmarkStart w:id="55" w:name="_Toc6396"/>
      <w:bookmarkStart w:id="56" w:name="_Toc12123"/>
      <w:bookmarkStart w:id="57" w:name="_Toc8060"/>
      <w:r>
        <w:rPr>
          <w:rFonts w:hint="eastAsia" w:ascii="宋体" w:hAnsi="宋体" w:eastAsia="宋体" w:cs="宋体"/>
          <w:b/>
          <w:sz w:val="24"/>
          <w:szCs w:val="24"/>
        </w:rPr>
        <w:t>4</w:t>
      </w:r>
      <w:r>
        <w:rPr>
          <w:rFonts w:hint="eastAsia" w:ascii="宋体" w:hAnsi="宋体" w:eastAsia="宋体" w:cs="宋体"/>
          <w:b/>
          <w:sz w:val="24"/>
          <w:szCs w:val="24"/>
          <w:lang w:eastAsia="zh-CN"/>
        </w:rPr>
        <w:t>.</w:t>
      </w:r>
      <w:r>
        <w:rPr>
          <w:rFonts w:hint="eastAsia" w:ascii="宋体" w:hAnsi="宋体" w:eastAsia="宋体" w:cs="宋体"/>
          <w:b/>
          <w:sz w:val="24"/>
          <w:szCs w:val="24"/>
        </w:rPr>
        <w:t>甲方的权利与义务</w:t>
      </w:r>
      <w:bookmarkEnd w:id="55"/>
      <w:bookmarkEnd w:id="56"/>
      <w:bookmarkEnd w:id="57"/>
    </w:p>
    <w:p w14:paraId="67F14829">
      <w:pPr>
        <w:spacing w:line="360" w:lineRule="auto"/>
        <w:ind w:firstLine="482" w:firstLineChars="200"/>
        <w:outlineLvl w:val="2"/>
        <w:rPr>
          <w:rFonts w:hint="eastAsia" w:ascii="宋体" w:hAnsi="宋体" w:eastAsia="宋体" w:cs="宋体"/>
          <w:b/>
          <w:sz w:val="24"/>
          <w:szCs w:val="24"/>
        </w:rPr>
      </w:pPr>
      <w:r>
        <w:rPr>
          <w:rFonts w:hint="eastAsia" w:ascii="宋体" w:hAnsi="宋体" w:eastAsia="宋体" w:cs="宋体"/>
          <w:b/>
          <w:sz w:val="24"/>
          <w:szCs w:val="24"/>
        </w:rPr>
        <w:t>4.1 甲方的权利</w:t>
      </w:r>
    </w:p>
    <w:p w14:paraId="3E63454B">
      <w:pPr>
        <w:adjustRightInd w:val="0"/>
        <w:spacing w:line="360" w:lineRule="auto"/>
        <w:ind w:firstLine="480" w:firstLineChars="200"/>
        <w:rPr>
          <w:rFonts w:hint="eastAsia" w:ascii="宋体" w:hAnsi="宋体" w:eastAsia="宋体" w:cs="宋体"/>
          <w:b w:val="0"/>
          <w:bCs/>
          <w:snapToGrid w:val="0"/>
          <w:color w:val="000000"/>
          <w:kern w:val="0"/>
          <w:sz w:val="24"/>
          <w:szCs w:val="24"/>
          <w:highlight w:val="none"/>
          <w:lang w:val="en-US" w:eastAsia="zh-CN" w:bidi="ar-SA"/>
        </w:rPr>
      </w:pPr>
      <w:r>
        <w:rPr>
          <w:rFonts w:hint="eastAsia" w:ascii="宋体" w:hAnsi="宋体" w:eastAsia="宋体" w:cs="宋体"/>
          <w:b w:val="0"/>
          <w:bCs/>
          <w:sz w:val="24"/>
          <w:szCs w:val="24"/>
        </w:rPr>
        <w:t xml:space="preserve">4.1.1 </w:t>
      </w:r>
      <w:r>
        <w:rPr>
          <w:rFonts w:hint="eastAsia" w:ascii="宋体" w:hAnsi="宋体" w:eastAsia="宋体" w:cs="宋体"/>
          <w:b w:val="0"/>
          <w:bCs/>
          <w:snapToGrid w:val="0"/>
          <w:color w:val="000000"/>
          <w:kern w:val="0"/>
          <w:sz w:val="24"/>
          <w:szCs w:val="24"/>
          <w:highlight w:val="none"/>
          <w:lang w:val="en-US" w:eastAsia="zh-CN" w:bidi="ar-SA"/>
        </w:rPr>
        <w:t>甲方有权依据国家法律法规和企业制度标准，规范外包项目安全管理，确保外包项目实施过程符合安全生产、职业健康、环境保护等工作要求。</w:t>
      </w:r>
    </w:p>
    <w:p w14:paraId="122AD950">
      <w:pPr>
        <w:adjustRightInd w:val="0"/>
        <w:spacing w:line="360" w:lineRule="auto"/>
        <w:ind w:firstLine="480" w:firstLineChars="200"/>
        <w:rPr>
          <w:rFonts w:hint="eastAsia" w:ascii="宋体" w:hAnsi="宋体" w:eastAsia="宋体" w:cs="宋体"/>
          <w:b w:val="0"/>
          <w:bCs/>
          <w:snapToGrid w:val="0"/>
          <w:color w:val="000000"/>
          <w:kern w:val="0"/>
          <w:sz w:val="24"/>
          <w:szCs w:val="24"/>
          <w:highlight w:val="none"/>
          <w:lang w:val="en-US" w:eastAsia="zh-CN" w:bidi="ar-SA"/>
        </w:rPr>
      </w:pPr>
      <w:r>
        <w:rPr>
          <w:rFonts w:hint="eastAsia" w:ascii="宋体" w:hAnsi="宋体" w:eastAsia="宋体" w:cs="宋体"/>
          <w:b w:val="0"/>
          <w:bCs/>
          <w:sz w:val="24"/>
          <w:szCs w:val="24"/>
        </w:rPr>
        <w:t xml:space="preserve">4.1.2 </w:t>
      </w:r>
      <w:r>
        <w:rPr>
          <w:rFonts w:hint="eastAsia" w:ascii="宋体" w:hAnsi="宋体" w:eastAsia="宋体" w:cs="宋体"/>
          <w:b w:val="0"/>
          <w:bCs/>
          <w:snapToGrid w:val="0"/>
          <w:color w:val="000000"/>
          <w:kern w:val="0"/>
          <w:sz w:val="24"/>
          <w:szCs w:val="24"/>
          <w:highlight w:val="none"/>
          <w:lang w:val="en-US" w:eastAsia="zh-CN" w:bidi="ar-SA"/>
        </w:rPr>
        <w:t>甲方有权根据合同和本协议规定，要求乙方履行入厂审查和开工许可手续、建立安全管理体系、落实相关安全措施、开展安全教育培训等，有权禁止不具备条件的作业人员、工器具、施工机械、物资材料等进入厂区和施工区域。</w:t>
      </w:r>
    </w:p>
    <w:p w14:paraId="471BEC30">
      <w:pPr>
        <w:adjustRightInd w:val="0"/>
        <w:spacing w:line="360" w:lineRule="auto"/>
        <w:ind w:firstLine="480" w:firstLineChars="200"/>
        <w:rPr>
          <w:rFonts w:hint="eastAsia" w:ascii="宋体" w:hAnsi="宋体" w:eastAsia="宋体" w:cs="宋体"/>
          <w:b w:val="0"/>
          <w:bCs/>
          <w:snapToGrid w:val="0"/>
          <w:color w:val="000000"/>
          <w:kern w:val="0"/>
          <w:sz w:val="24"/>
          <w:szCs w:val="24"/>
          <w:highlight w:val="none"/>
          <w:lang w:val="en-US" w:eastAsia="zh-CN" w:bidi="ar-SA"/>
        </w:rPr>
      </w:pPr>
      <w:r>
        <w:rPr>
          <w:rFonts w:hint="eastAsia" w:ascii="宋体" w:hAnsi="宋体" w:eastAsia="宋体" w:cs="宋体"/>
          <w:b w:val="0"/>
          <w:bCs/>
          <w:sz w:val="24"/>
          <w:szCs w:val="24"/>
        </w:rPr>
        <w:t xml:space="preserve">4.1.3 </w:t>
      </w:r>
      <w:r>
        <w:rPr>
          <w:rFonts w:hint="eastAsia" w:ascii="宋体" w:hAnsi="宋体" w:eastAsia="宋体" w:cs="宋体"/>
          <w:b w:val="0"/>
          <w:bCs/>
          <w:snapToGrid w:val="0"/>
          <w:color w:val="000000"/>
          <w:kern w:val="0"/>
          <w:sz w:val="24"/>
          <w:szCs w:val="24"/>
          <w:highlight w:val="none"/>
          <w:lang w:val="en-US" w:eastAsia="zh-CN" w:bidi="ar-SA"/>
        </w:rPr>
        <w:t>甲方有权对乙方企业营业执照、资质等级证书、安全生产许可证、相关人员从业资格证书、安全管理体系设置情况等进行审查和备案，审批乙方相关施工方案和措施等，有权要求乙方针对危险性作业编制专项施工方案和措施。</w:t>
      </w:r>
    </w:p>
    <w:p w14:paraId="6F348486">
      <w:pPr>
        <w:keepNext w:val="0"/>
        <w:keepLines w:val="0"/>
        <w:pageBreakBefore w:val="0"/>
        <w:widowControl w:val="0"/>
        <w:kinsoku/>
        <w:wordWrap/>
        <w:overflowPunct/>
        <w:topLinePunct w:val="0"/>
        <w:autoSpaceDE/>
        <w:autoSpaceDN/>
        <w:bidi w:val="0"/>
        <w:adjustRightInd w:val="0"/>
        <w:spacing w:line="360" w:lineRule="auto"/>
        <w:ind w:firstLine="480" w:firstLineChars="200"/>
        <w:textAlignment w:val="auto"/>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b w:val="0"/>
          <w:bCs/>
          <w:sz w:val="24"/>
          <w:szCs w:val="24"/>
        </w:rPr>
        <w:t xml:space="preserve">4.1.4 </w:t>
      </w:r>
      <w:r>
        <w:rPr>
          <w:rFonts w:hint="eastAsia" w:ascii="宋体" w:hAnsi="宋体" w:eastAsia="宋体" w:cs="宋体"/>
          <w:b w:val="0"/>
          <w:bCs/>
          <w:snapToGrid w:val="0"/>
          <w:color w:val="000000"/>
          <w:kern w:val="0"/>
          <w:sz w:val="24"/>
          <w:szCs w:val="24"/>
          <w:highlight w:val="none"/>
          <w:lang w:val="en-US" w:eastAsia="zh-CN" w:bidi="ar-SA"/>
        </w:rPr>
        <w:t>甲方</w:t>
      </w:r>
      <w:r>
        <w:rPr>
          <w:rFonts w:hint="eastAsia" w:ascii="宋体" w:hAnsi="宋体" w:eastAsia="宋体" w:cs="宋体"/>
          <w:snapToGrid w:val="0"/>
          <w:color w:val="000000"/>
          <w:kern w:val="0"/>
          <w:sz w:val="24"/>
          <w:szCs w:val="24"/>
          <w:highlight w:val="none"/>
          <w:lang w:val="en-US" w:eastAsia="zh-CN" w:bidi="ar-SA"/>
        </w:rPr>
        <w:t>有权监督、指导和检查乙方外包项目实施过程，对乙方安全生产工作有权进行表彰奖励，对乙方安全生产违章违规行为有权提出整改或停工要求，并进行通报和考核。</w:t>
      </w:r>
    </w:p>
    <w:p w14:paraId="2CC0916C">
      <w:pPr>
        <w:keepNext w:val="0"/>
        <w:keepLines w:val="0"/>
        <w:pageBreakBefore w:val="0"/>
        <w:widowControl w:val="0"/>
        <w:kinsoku/>
        <w:wordWrap/>
        <w:overflowPunct/>
        <w:topLinePunct w:val="0"/>
        <w:autoSpaceDE/>
        <w:autoSpaceDN/>
        <w:bidi w:val="0"/>
        <w:spacing w:line="360" w:lineRule="auto"/>
        <w:ind w:firstLine="482" w:firstLineChars="200"/>
        <w:textAlignment w:val="auto"/>
        <w:outlineLvl w:val="2"/>
        <w:rPr>
          <w:rFonts w:hint="eastAsia" w:ascii="宋体" w:hAnsi="宋体" w:eastAsia="宋体" w:cs="宋体"/>
          <w:b/>
          <w:sz w:val="24"/>
          <w:szCs w:val="24"/>
        </w:rPr>
      </w:pPr>
      <w:r>
        <w:rPr>
          <w:rFonts w:hint="eastAsia" w:ascii="宋体" w:hAnsi="宋体" w:eastAsia="宋体" w:cs="宋体"/>
          <w:b/>
          <w:sz w:val="24"/>
          <w:szCs w:val="24"/>
        </w:rPr>
        <w:t>4.2 甲方的义务</w:t>
      </w:r>
    </w:p>
    <w:p w14:paraId="425A5633">
      <w:pPr>
        <w:keepNext w:val="0"/>
        <w:keepLines w:val="0"/>
        <w:pageBreakBefore w:val="0"/>
        <w:widowControl w:val="0"/>
        <w:kinsoku/>
        <w:wordWrap/>
        <w:overflowPunct/>
        <w:topLinePunct w:val="0"/>
        <w:autoSpaceDE/>
        <w:autoSpaceDN/>
        <w:bidi w:val="0"/>
        <w:adjustRightInd w:val="0"/>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 xml:space="preserve">4.2.1 </w:t>
      </w:r>
      <w:r>
        <w:rPr>
          <w:rFonts w:hint="eastAsia" w:ascii="宋体" w:hAnsi="宋体" w:eastAsia="宋体" w:cs="宋体"/>
          <w:b w:val="0"/>
          <w:bCs/>
          <w:snapToGrid w:val="0"/>
          <w:color w:val="000000"/>
          <w:kern w:val="0"/>
          <w:sz w:val="24"/>
          <w:szCs w:val="24"/>
          <w:highlight w:val="none"/>
          <w:lang w:val="en-US" w:eastAsia="zh-CN" w:bidi="ar-SA"/>
        </w:rPr>
        <w:t>甲方应按照本企业生产部门和班组管理要求，对乙方实行一体化管理，对安全生产工作同部署、同检查、同考核。根据承包工作内容，请乙方参加本企业的安全生产相关会议。</w:t>
      </w:r>
    </w:p>
    <w:p w14:paraId="1DED7DCB">
      <w:pPr>
        <w:keepNext w:val="0"/>
        <w:keepLines w:val="0"/>
        <w:pageBreakBefore w:val="0"/>
        <w:widowControl w:val="0"/>
        <w:kinsoku/>
        <w:wordWrap/>
        <w:overflowPunct/>
        <w:topLinePunct w:val="0"/>
        <w:autoSpaceDE/>
        <w:autoSpaceDN/>
        <w:bidi w:val="0"/>
        <w:adjustRightInd w:val="0"/>
        <w:spacing w:line="360" w:lineRule="auto"/>
        <w:ind w:firstLine="480" w:firstLineChars="200"/>
        <w:textAlignment w:val="auto"/>
        <w:rPr>
          <w:rFonts w:hint="eastAsia" w:ascii="宋体" w:hAnsi="宋体" w:eastAsia="宋体" w:cs="宋体"/>
          <w:b w:val="0"/>
          <w:bCs/>
          <w:snapToGrid w:val="0"/>
          <w:color w:val="000000"/>
          <w:kern w:val="0"/>
          <w:sz w:val="24"/>
          <w:szCs w:val="24"/>
          <w:highlight w:val="none"/>
          <w:lang w:val="en-US" w:eastAsia="zh-CN" w:bidi="ar-SA"/>
        </w:rPr>
      </w:pPr>
      <w:r>
        <w:rPr>
          <w:rFonts w:hint="eastAsia" w:ascii="宋体" w:hAnsi="宋体" w:eastAsia="宋体" w:cs="宋体"/>
          <w:b w:val="0"/>
          <w:bCs/>
          <w:sz w:val="24"/>
          <w:szCs w:val="24"/>
        </w:rPr>
        <w:t>4.2.2</w:t>
      </w:r>
      <w:r>
        <w:rPr>
          <w:rFonts w:hint="eastAsia" w:ascii="宋体" w:hAnsi="宋体" w:eastAsia="宋体" w:cs="宋体"/>
          <w:b w:val="0"/>
          <w:bCs/>
          <w:snapToGrid w:val="0"/>
          <w:color w:val="000000"/>
          <w:kern w:val="0"/>
          <w:sz w:val="24"/>
          <w:szCs w:val="24"/>
          <w:highlight w:val="none"/>
          <w:lang w:val="en-US" w:eastAsia="zh-CN" w:bidi="ar-SA"/>
        </w:rPr>
        <w:t xml:space="preserve"> 甲方应当对乙方所有人员进行入厂安全教育培训，建立外包人员培训档案，所有人员经考核合格后方可进入现场。同时，甲方应监督指导乙方进行自身安全教育培训，并对乙方安全培训和考试情况进行备案。</w:t>
      </w:r>
    </w:p>
    <w:p w14:paraId="14488C3B">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b w:val="0"/>
          <w:bCs/>
          <w:snapToGrid w:val="0"/>
          <w:color w:val="000000"/>
          <w:kern w:val="0"/>
          <w:sz w:val="24"/>
          <w:szCs w:val="24"/>
          <w:highlight w:val="none"/>
          <w:lang w:val="en-US" w:eastAsia="zh-CN" w:bidi="ar-SA"/>
        </w:rPr>
      </w:pPr>
      <w:r>
        <w:rPr>
          <w:rFonts w:hint="eastAsia" w:ascii="宋体" w:hAnsi="宋体" w:eastAsia="宋体" w:cs="宋体"/>
          <w:b w:val="0"/>
          <w:bCs/>
          <w:sz w:val="24"/>
          <w:szCs w:val="24"/>
        </w:rPr>
        <w:t xml:space="preserve">4.2.3 </w:t>
      </w:r>
      <w:r>
        <w:rPr>
          <w:rFonts w:hint="eastAsia" w:ascii="宋体" w:hAnsi="宋体" w:eastAsia="宋体" w:cs="宋体"/>
          <w:b w:val="0"/>
          <w:bCs/>
          <w:snapToGrid w:val="0"/>
          <w:color w:val="000000"/>
          <w:kern w:val="0"/>
          <w:sz w:val="24"/>
          <w:szCs w:val="24"/>
          <w:highlight w:val="none"/>
          <w:lang w:val="en-US" w:eastAsia="zh-CN" w:bidi="ar-SA"/>
        </w:rPr>
        <w:t xml:space="preserve">开工前甲方业务主管部门应当向乙方项目负责人及安全、技术管理人员进行安全技术交底，并保存完整的交底记录。 </w:t>
      </w:r>
    </w:p>
    <w:p w14:paraId="7D8E538A">
      <w:pPr>
        <w:keepNext w:val="0"/>
        <w:keepLines w:val="0"/>
        <w:pageBreakBefore w:val="0"/>
        <w:widowControl w:val="0"/>
        <w:kinsoku/>
        <w:wordWrap/>
        <w:overflowPunct/>
        <w:topLinePunct w:val="0"/>
        <w:autoSpaceDE/>
        <w:autoSpaceDN/>
        <w:bidi w:val="0"/>
        <w:adjustRightInd w:val="0"/>
        <w:spacing w:line="360" w:lineRule="auto"/>
        <w:ind w:firstLine="480" w:firstLineChars="200"/>
        <w:textAlignment w:val="auto"/>
        <w:rPr>
          <w:rFonts w:hint="eastAsia" w:ascii="宋体" w:hAnsi="宋体" w:eastAsia="宋体" w:cs="宋体"/>
          <w:b w:val="0"/>
          <w:bCs/>
          <w:snapToGrid w:val="0"/>
          <w:color w:val="000000"/>
          <w:kern w:val="0"/>
          <w:sz w:val="24"/>
          <w:szCs w:val="24"/>
          <w:highlight w:val="none"/>
          <w:lang w:val="en-US" w:eastAsia="zh-CN" w:bidi="ar-SA"/>
        </w:rPr>
      </w:pPr>
      <w:r>
        <w:rPr>
          <w:rFonts w:hint="eastAsia" w:ascii="宋体" w:hAnsi="宋体" w:eastAsia="宋体" w:cs="宋体"/>
          <w:b w:val="0"/>
          <w:bCs/>
          <w:sz w:val="24"/>
          <w:szCs w:val="24"/>
        </w:rPr>
        <w:t xml:space="preserve">4.2.4 </w:t>
      </w:r>
      <w:r>
        <w:rPr>
          <w:rFonts w:hint="eastAsia" w:ascii="宋体" w:hAnsi="宋体" w:eastAsia="宋体" w:cs="宋体"/>
          <w:b w:val="0"/>
          <w:bCs/>
          <w:snapToGrid w:val="0"/>
          <w:color w:val="000000"/>
          <w:kern w:val="0"/>
          <w:sz w:val="24"/>
          <w:szCs w:val="24"/>
          <w:highlight w:val="none"/>
          <w:lang w:val="en-US" w:eastAsia="zh-CN" w:bidi="ar-SA"/>
        </w:rPr>
        <w:t xml:space="preserve"> 甲方应严格执行外包项目工作许可手续，办理工作票时严格审核作业任务的必要性、合理性、安全性，根据工作特点安排现场监护人员，临时承包工作和长期承包需实施“双监护”的工作，甲方监护人员未到场不得允许乙方进入现场作业。</w:t>
      </w:r>
    </w:p>
    <w:p w14:paraId="04F9ADFF">
      <w:pPr>
        <w:keepNext w:val="0"/>
        <w:keepLines w:val="0"/>
        <w:pageBreakBefore w:val="0"/>
        <w:widowControl w:val="0"/>
        <w:kinsoku/>
        <w:wordWrap/>
        <w:overflowPunct/>
        <w:topLinePunct w:val="0"/>
        <w:autoSpaceDE/>
        <w:autoSpaceDN/>
        <w:bidi w:val="0"/>
        <w:adjustRightInd w:val="0"/>
        <w:spacing w:line="360" w:lineRule="auto"/>
        <w:ind w:firstLine="480" w:firstLineChars="200"/>
        <w:textAlignment w:val="auto"/>
        <w:rPr>
          <w:rFonts w:hint="eastAsia" w:ascii="宋体" w:hAnsi="宋体" w:eastAsia="宋体" w:cs="宋体"/>
          <w:snapToGrid w:val="0"/>
          <w:color w:val="000000"/>
          <w:kern w:val="0"/>
          <w:sz w:val="24"/>
          <w:szCs w:val="24"/>
          <w:highlight w:val="none"/>
          <w:lang w:val="en-US" w:eastAsia="zh-CN" w:bidi="ar-SA"/>
        </w:rPr>
      </w:pPr>
      <w:bookmarkStart w:id="58" w:name="_Toc484673929"/>
      <w:bookmarkStart w:id="59" w:name="_Toc485377620"/>
      <w:bookmarkStart w:id="60" w:name="_Toc486344987"/>
      <w:r>
        <w:rPr>
          <w:rFonts w:hint="eastAsia" w:ascii="宋体" w:hAnsi="宋体" w:eastAsia="宋体" w:cs="宋体"/>
          <w:b w:val="0"/>
          <w:bCs/>
          <w:sz w:val="24"/>
          <w:szCs w:val="24"/>
        </w:rPr>
        <w:t>4.2.5</w:t>
      </w:r>
      <w:r>
        <w:rPr>
          <w:rFonts w:hint="eastAsia" w:ascii="宋体" w:hAnsi="宋体" w:eastAsia="宋体" w:cs="宋体"/>
          <w:b w:val="0"/>
          <w:bCs/>
          <w:sz w:val="24"/>
          <w:szCs w:val="24"/>
          <w:lang w:val="en-US" w:eastAsia="zh-CN"/>
        </w:rPr>
        <w:t xml:space="preserve">  </w:t>
      </w:r>
      <w:r>
        <w:rPr>
          <w:rFonts w:hint="eastAsia" w:ascii="宋体" w:hAnsi="宋体" w:eastAsia="宋体" w:cs="宋体"/>
          <w:b w:val="0"/>
          <w:bCs/>
          <w:snapToGrid w:val="0"/>
          <w:color w:val="000000"/>
          <w:kern w:val="0"/>
          <w:sz w:val="24"/>
          <w:szCs w:val="24"/>
          <w:highlight w:val="none"/>
          <w:lang w:val="en-US" w:eastAsia="zh-CN" w:bidi="ar-SA"/>
        </w:rPr>
        <w:t>甲方应</w:t>
      </w:r>
      <w:r>
        <w:rPr>
          <w:rFonts w:hint="eastAsia" w:ascii="宋体" w:hAnsi="宋体" w:eastAsia="宋体" w:cs="宋体"/>
          <w:snapToGrid w:val="0"/>
          <w:color w:val="000000"/>
          <w:kern w:val="0"/>
          <w:sz w:val="24"/>
          <w:szCs w:val="24"/>
          <w:highlight w:val="none"/>
          <w:lang w:val="en-US" w:eastAsia="zh-CN" w:bidi="ar-SA"/>
        </w:rPr>
        <w:t>根据自身便利条件，为乙方提供必要的电、汽、气、水源，或相关设备设施，告知乙方接入点允许的最大负荷和有关使用要求，并办理相关使用手续。</w:t>
      </w:r>
    </w:p>
    <w:bookmarkEnd w:id="46"/>
    <w:bookmarkEnd w:id="47"/>
    <w:bookmarkEnd w:id="48"/>
    <w:bookmarkEnd w:id="49"/>
    <w:bookmarkEnd w:id="50"/>
    <w:bookmarkEnd w:id="51"/>
    <w:bookmarkEnd w:id="52"/>
    <w:bookmarkEnd w:id="53"/>
    <w:bookmarkEnd w:id="54"/>
    <w:bookmarkEnd w:id="58"/>
    <w:bookmarkEnd w:id="59"/>
    <w:bookmarkEnd w:id="60"/>
    <w:p w14:paraId="38048CB6">
      <w:pPr>
        <w:keepNext w:val="0"/>
        <w:keepLines w:val="0"/>
        <w:pageBreakBefore w:val="0"/>
        <w:widowControl w:val="0"/>
        <w:kinsoku/>
        <w:wordWrap/>
        <w:overflowPunct/>
        <w:topLinePunct w:val="0"/>
        <w:autoSpaceDE/>
        <w:autoSpaceDN/>
        <w:bidi w:val="0"/>
        <w:spacing w:line="360" w:lineRule="auto"/>
        <w:ind w:firstLine="482" w:firstLineChars="200"/>
        <w:textAlignment w:val="auto"/>
        <w:outlineLvl w:val="1"/>
        <w:rPr>
          <w:rFonts w:hint="eastAsia" w:ascii="宋体" w:hAnsi="宋体" w:eastAsia="宋体" w:cs="宋体"/>
          <w:b/>
          <w:sz w:val="24"/>
          <w:szCs w:val="24"/>
        </w:rPr>
      </w:pPr>
      <w:bookmarkStart w:id="61" w:name="_Toc24856"/>
      <w:bookmarkStart w:id="62" w:name="_Toc25469"/>
      <w:bookmarkStart w:id="63" w:name="_Toc6827"/>
      <w:r>
        <w:rPr>
          <w:rFonts w:hint="eastAsia" w:ascii="宋体" w:hAnsi="宋体" w:eastAsia="宋体" w:cs="宋体"/>
          <w:b/>
          <w:sz w:val="24"/>
          <w:szCs w:val="24"/>
        </w:rPr>
        <w:t>5</w:t>
      </w:r>
      <w:r>
        <w:rPr>
          <w:rFonts w:hint="eastAsia" w:ascii="宋体" w:hAnsi="宋体" w:eastAsia="宋体" w:cs="宋体"/>
          <w:b/>
          <w:sz w:val="24"/>
          <w:szCs w:val="24"/>
          <w:lang w:eastAsia="zh-CN"/>
        </w:rPr>
        <w:t>.</w:t>
      </w:r>
      <w:r>
        <w:rPr>
          <w:rFonts w:hint="eastAsia" w:ascii="宋体" w:hAnsi="宋体" w:eastAsia="宋体" w:cs="宋体"/>
          <w:b/>
          <w:sz w:val="24"/>
          <w:szCs w:val="24"/>
        </w:rPr>
        <w:t>乙方的权利与义务</w:t>
      </w:r>
      <w:bookmarkEnd w:id="61"/>
      <w:bookmarkEnd w:id="62"/>
      <w:bookmarkEnd w:id="63"/>
    </w:p>
    <w:p w14:paraId="37CEB451">
      <w:pPr>
        <w:keepNext w:val="0"/>
        <w:keepLines w:val="0"/>
        <w:pageBreakBefore w:val="0"/>
        <w:widowControl w:val="0"/>
        <w:kinsoku/>
        <w:wordWrap/>
        <w:overflowPunct/>
        <w:topLinePunct w:val="0"/>
        <w:autoSpaceDE/>
        <w:autoSpaceDN/>
        <w:bidi w:val="0"/>
        <w:spacing w:line="360" w:lineRule="auto"/>
        <w:ind w:firstLine="482" w:firstLineChars="200"/>
        <w:textAlignment w:val="auto"/>
        <w:outlineLvl w:val="2"/>
        <w:rPr>
          <w:rFonts w:hint="eastAsia" w:ascii="宋体" w:hAnsi="宋体" w:eastAsia="宋体" w:cs="宋体"/>
          <w:b/>
          <w:sz w:val="24"/>
          <w:szCs w:val="24"/>
        </w:rPr>
      </w:pPr>
      <w:r>
        <w:rPr>
          <w:rFonts w:hint="eastAsia" w:ascii="宋体" w:hAnsi="宋体" w:eastAsia="宋体" w:cs="宋体"/>
          <w:b/>
          <w:sz w:val="24"/>
          <w:szCs w:val="24"/>
        </w:rPr>
        <w:t>5.1 乙方的权利</w:t>
      </w:r>
    </w:p>
    <w:p w14:paraId="03F9019C">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b w:val="0"/>
          <w:bCs/>
          <w:snapToGrid w:val="0"/>
          <w:color w:val="000000"/>
          <w:kern w:val="0"/>
          <w:sz w:val="24"/>
          <w:szCs w:val="24"/>
          <w:highlight w:val="none"/>
          <w:lang w:val="en-US" w:eastAsia="zh-CN" w:bidi="ar-SA"/>
        </w:rPr>
      </w:pPr>
      <w:r>
        <w:rPr>
          <w:rFonts w:hint="eastAsia" w:ascii="宋体" w:hAnsi="宋体" w:eastAsia="宋体" w:cs="宋体"/>
          <w:b w:val="0"/>
          <w:bCs/>
          <w:sz w:val="24"/>
          <w:szCs w:val="24"/>
        </w:rPr>
        <w:t>5.1.1</w:t>
      </w:r>
      <w:r>
        <w:rPr>
          <w:rFonts w:hint="eastAsia" w:ascii="宋体" w:hAnsi="宋体" w:eastAsia="宋体" w:cs="宋体"/>
          <w:b w:val="0"/>
          <w:bCs/>
          <w:snapToGrid w:val="0"/>
          <w:color w:val="000000"/>
          <w:kern w:val="0"/>
          <w:sz w:val="24"/>
          <w:szCs w:val="24"/>
          <w:highlight w:val="none"/>
          <w:lang w:val="en-US" w:eastAsia="zh-CN" w:bidi="ar-SA"/>
        </w:rPr>
        <w:t xml:space="preserve"> 乙方有权接受入厂安全教育培训，有权了解与承包项目有关的甲方规章制度要求，包括进出厂区注意事项、施工手续办理方式、现场安全作业要求、安全文明生产标准化规定等。</w:t>
      </w:r>
    </w:p>
    <w:p w14:paraId="7F5A8C8A">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b w:val="0"/>
          <w:bCs/>
          <w:sz w:val="24"/>
          <w:szCs w:val="24"/>
        </w:rPr>
        <w:t xml:space="preserve">5.1.2 </w:t>
      </w:r>
      <w:r>
        <w:rPr>
          <w:rFonts w:hint="eastAsia" w:ascii="宋体" w:hAnsi="宋体" w:eastAsia="宋体" w:cs="宋体"/>
          <w:b w:val="0"/>
          <w:bCs/>
          <w:snapToGrid w:val="0"/>
          <w:color w:val="000000"/>
          <w:kern w:val="0"/>
          <w:sz w:val="24"/>
          <w:szCs w:val="24"/>
          <w:highlight w:val="none"/>
          <w:lang w:val="en-US" w:eastAsia="zh-CN" w:bidi="ar-SA"/>
        </w:rPr>
        <w:t>乙</w:t>
      </w:r>
      <w:r>
        <w:rPr>
          <w:rFonts w:hint="eastAsia" w:ascii="宋体" w:hAnsi="宋体" w:eastAsia="宋体" w:cs="宋体"/>
          <w:snapToGrid w:val="0"/>
          <w:color w:val="000000"/>
          <w:kern w:val="0"/>
          <w:sz w:val="24"/>
          <w:szCs w:val="24"/>
          <w:highlight w:val="none"/>
          <w:lang w:val="en-US" w:eastAsia="zh-CN" w:bidi="ar-SA"/>
        </w:rPr>
        <w:t>方有权就承包的具体作业任务要求甲方进行现场安全交底和风险告知，有权了解现场作业环境、设备运行情况和风险因素构成。在生产区域施工时，有权要求甲方采取必要的系统隔离措施，以保证施工安全。</w:t>
      </w:r>
    </w:p>
    <w:p w14:paraId="20EF0E99">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b w:val="0"/>
          <w:bCs/>
          <w:snapToGrid w:val="0"/>
          <w:color w:val="000000"/>
          <w:kern w:val="0"/>
          <w:sz w:val="24"/>
          <w:szCs w:val="24"/>
          <w:highlight w:val="none"/>
          <w:lang w:val="en-US" w:eastAsia="zh-CN" w:bidi="ar-SA"/>
        </w:rPr>
      </w:pPr>
      <w:r>
        <w:rPr>
          <w:rFonts w:hint="eastAsia" w:ascii="宋体" w:hAnsi="宋体" w:eastAsia="宋体" w:cs="宋体"/>
          <w:b w:val="0"/>
          <w:bCs/>
          <w:sz w:val="24"/>
          <w:szCs w:val="24"/>
        </w:rPr>
        <w:t xml:space="preserve">5.1.3 </w:t>
      </w:r>
      <w:r>
        <w:rPr>
          <w:rFonts w:hint="eastAsia" w:ascii="宋体" w:hAnsi="宋体" w:eastAsia="宋体" w:cs="宋体"/>
          <w:b w:val="0"/>
          <w:bCs/>
          <w:snapToGrid w:val="0"/>
          <w:color w:val="000000"/>
          <w:kern w:val="0"/>
          <w:sz w:val="24"/>
          <w:szCs w:val="24"/>
          <w:highlight w:val="none"/>
          <w:lang w:val="en-US" w:eastAsia="zh-CN" w:bidi="ar-SA"/>
        </w:rPr>
        <w:t>甲方安排乙方与其他单位进行配合作业或交叉作业时，乙方有权要求甲方进行统一组织和协调，合理安排施工工序，做好安全互保工作。</w:t>
      </w:r>
    </w:p>
    <w:p w14:paraId="3DF024D6">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b w:val="0"/>
          <w:bCs/>
          <w:sz w:val="24"/>
          <w:szCs w:val="24"/>
        </w:rPr>
        <w:t xml:space="preserve">5.1.4 </w:t>
      </w:r>
      <w:r>
        <w:rPr>
          <w:rFonts w:hint="eastAsia" w:ascii="宋体" w:hAnsi="宋体" w:eastAsia="宋体" w:cs="宋体"/>
          <w:b w:val="0"/>
          <w:bCs/>
          <w:snapToGrid w:val="0"/>
          <w:color w:val="000000"/>
          <w:kern w:val="0"/>
          <w:sz w:val="24"/>
          <w:szCs w:val="24"/>
          <w:highlight w:val="none"/>
          <w:lang w:val="en-US" w:eastAsia="zh-CN" w:bidi="ar-SA"/>
        </w:rPr>
        <w:t>发</w:t>
      </w:r>
      <w:r>
        <w:rPr>
          <w:rFonts w:hint="eastAsia" w:ascii="宋体" w:hAnsi="宋体" w:eastAsia="宋体" w:cs="宋体"/>
          <w:snapToGrid w:val="0"/>
          <w:color w:val="000000"/>
          <w:kern w:val="0"/>
          <w:sz w:val="24"/>
          <w:szCs w:val="24"/>
          <w:highlight w:val="none"/>
          <w:lang w:val="en-US" w:eastAsia="zh-CN" w:bidi="ar-SA"/>
        </w:rPr>
        <w:t>现重大安全隐患或发生危及人身或设备安全的情况时，乙方有权暂停施工作业。</w:t>
      </w:r>
    </w:p>
    <w:p w14:paraId="4A305EE4">
      <w:pPr>
        <w:keepNext w:val="0"/>
        <w:keepLines w:val="0"/>
        <w:pageBreakBefore w:val="0"/>
        <w:widowControl w:val="0"/>
        <w:kinsoku/>
        <w:wordWrap/>
        <w:overflowPunct/>
        <w:topLinePunct w:val="0"/>
        <w:autoSpaceDE/>
        <w:autoSpaceDN/>
        <w:bidi w:val="0"/>
        <w:spacing w:line="360" w:lineRule="auto"/>
        <w:ind w:firstLine="482" w:firstLineChars="200"/>
        <w:textAlignment w:val="auto"/>
        <w:outlineLvl w:val="2"/>
        <w:rPr>
          <w:rFonts w:hint="eastAsia" w:ascii="宋体" w:hAnsi="宋体" w:eastAsia="宋体" w:cs="宋体"/>
          <w:b/>
          <w:sz w:val="24"/>
          <w:szCs w:val="24"/>
        </w:rPr>
      </w:pPr>
      <w:r>
        <w:rPr>
          <w:rFonts w:hint="eastAsia" w:ascii="宋体" w:hAnsi="宋体" w:eastAsia="宋体" w:cs="宋体"/>
          <w:b/>
          <w:sz w:val="24"/>
          <w:szCs w:val="24"/>
        </w:rPr>
        <w:t>5.2 乙方的义务</w:t>
      </w:r>
    </w:p>
    <w:p w14:paraId="77C909D1">
      <w:pPr>
        <w:pStyle w:val="5"/>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eastAsia" w:ascii="宋体" w:hAnsi="宋体" w:eastAsia="宋体" w:cs="宋体"/>
          <w:b/>
          <w:color w:val="000000"/>
          <w:sz w:val="24"/>
          <w:szCs w:val="24"/>
        </w:rPr>
      </w:pPr>
      <w:bookmarkStart w:id="64" w:name="_Toc469918279"/>
      <w:bookmarkStart w:id="65" w:name="_Toc484673877"/>
      <w:bookmarkStart w:id="66" w:name="_Toc469918460"/>
      <w:bookmarkStart w:id="67" w:name="_Toc469919377"/>
      <w:bookmarkStart w:id="68" w:name="_Toc486344959"/>
      <w:bookmarkStart w:id="69" w:name="_Toc485377510"/>
      <w:r>
        <w:rPr>
          <w:rFonts w:hint="eastAsia" w:ascii="宋体" w:hAnsi="宋体" w:eastAsia="宋体" w:cs="宋体"/>
          <w:b/>
          <w:color w:val="000000"/>
          <w:sz w:val="24"/>
          <w:szCs w:val="24"/>
        </w:rPr>
        <w:t>5.2.1 乙方进厂应当满足以下条件：</w:t>
      </w:r>
    </w:p>
    <w:p w14:paraId="134EBD3B">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b w:val="0"/>
          <w:bCs/>
          <w:snapToGrid w:val="0"/>
          <w:color w:val="000000"/>
          <w:kern w:val="0"/>
          <w:sz w:val="24"/>
          <w:szCs w:val="24"/>
          <w:highlight w:val="none"/>
          <w:lang w:val="en-US" w:eastAsia="zh-CN" w:bidi="ar-SA"/>
        </w:rPr>
      </w:pPr>
      <w:r>
        <w:rPr>
          <w:rFonts w:hint="eastAsia" w:ascii="宋体" w:hAnsi="宋体" w:eastAsia="宋体" w:cs="宋体"/>
          <w:b w:val="0"/>
          <w:bCs/>
          <w:snapToGrid w:val="0"/>
          <w:color w:val="000000"/>
          <w:kern w:val="0"/>
          <w:sz w:val="24"/>
          <w:szCs w:val="24"/>
          <w:highlight w:val="none"/>
          <w:lang w:val="en-US" w:eastAsia="zh-CN" w:bidi="ar-SA"/>
        </w:rPr>
        <w:t>5.2.1.1 乙方应提供以下材料供甲方审查备案，同时确保所提交材料真实、有效。</w:t>
      </w:r>
    </w:p>
    <w:p w14:paraId="0773F05B">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b w:val="0"/>
          <w:bCs/>
          <w:snapToGrid w:val="0"/>
          <w:color w:val="000000"/>
          <w:kern w:val="0"/>
          <w:sz w:val="24"/>
          <w:szCs w:val="24"/>
          <w:highlight w:val="none"/>
          <w:lang w:val="en-US" w:eastAsia="zh-CN" w:bidi="ar-SA"/>
        </w:rPr>
      </w:pPr>
      <w:r>
        <w:rPr>
          <w:rFonts w:hint="eastAsia" w:ascii="宋体" w:hAnsi="宋体" w:eastAsia="宋体" w:cs="宋体"/>
          <w:b w:val="0"/>
          <w:bCs/>
          <w:snapToGrid w:val="0"/>
          <w:color w:val="000000"/>
          <w:kern w:val="0"/>
          <w:sz w:val="24"/>
          <w:szCs w:val="24"/>
          <w:highlight w:val="none"/>
          <w:lang w:val="en-US" w:eastAsia="zh-CN" w:bidi="ar-SA"/>
        </w:rPr>
        <w:t>（1）企业营业执照、安全生产许可证、承包项目资质等级证书；</w:t>
      </w:r>
    </w:p>
    <w:p w14:paraId="57C21579">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b w:val="0"/>
          <w:bCs/>
          <w:snapToGrid w:val="0"/>
          <w:color w:val="000000"/>
          <w:kern w:val="0"/>
          <w:sz w:val="24"/>
          <w:szCs w:val="24"/>
          <w:highlight w:val="none"/>
          <w:lang w:val="en-US" w:eastAsia="zh-CN" w:bidi="ar-SA"/>
        </w:rPr>
      </w:pPr>
      <w:r>
        <w:rPr>
          <w:rFonts w:hint="eastAsia" w:ascii="宋体" w:hAnsi="宋体" w:eastAsia="宋体" w:cs="宋体"/>
          <w:b w:val="0"/>
          <w:bCs/>
          <w:snapToGrid w:val="0"/>
          <w:color w:val="000000"/>
          <w:kern w:val="0"/>
          <w:sz w:val="24"/>
          <w:szCs w:val="24"/>
          <w:highlight w:val="none"/>
          <w:lang w:val="en-US" w:eastAsia="zh-CN" w:bidi="ar-SA"/>
        </w:rPr>
        <w:t>（2）法人代表资格证书，非法人代表应持有授权委托书；</w:t>
      </w:r>
    </w:p>
    <w:p w14:paraId="6BEE1B44">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b w:val="0"/>
          <w:bCs/>
          <w:snapToGrid w:val="0"/>
          <w:color w:val="000000"/>
          <w:kern w:val="0"/>
          <w:sz w:val="24"/>
          <w:szCs w:val="24"/>
          <w:highlight w:val="none"/>
          <w:lang w:val="en-US" w:eastAsia="zh-CN" w:bidi="ar-SA"/>
        </w:rPr>
      </w:pPr>
      <w:r>
        <w:rPr>
          <w:rFonts w:hint="eastAsia" w:ascii="宋体" w:hAnsi="宋体" w:eastAsia="宋体" w:cs="宋体"/>
          <w:b w:val="0"/>
          <w:bCs/>
          <w:snapToGrid w:val="0"/>
          <w:color w:val="000000"/>
          <w:kern w:val="0"/>
          <w:sz w:val="24"/>
          <w:szCs w:val="24"/>
          <w:highlight w:val="none"/>
          <w:lang w:val="en-US" w:eastAsia="zh-CN" w:bidi="ar-SA"/>
        </w:rPr>
        <w:t>（3）组织机构设置情况，以及项目负责人、安全及专业管理人员资格证书；</w:t>
      </w:r>
    </w:p>
    <w:p w14:paraId="39DC577C">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b w:val="0"/>
          <w:bCs/>
          <w:snapToGrid w:val="0"/>
          <w:color w:val="000000"/>
          <w:kern w:val="0"/>
          <w:sz w:val="24"/>
          <w:szCs w:val="24"/>
          <w:highlight w:val="none"/>
          <w:lang w:val="en-US" w:eastAsia="zh-CN" w:bidi="ar-SA"/>
        </w:rPr>
      </w:pPr>
      <w:r>
        <w:rPr>
          <w:rFonts w:hint="eastAsia" w:ascii="宋体" w:hAnsi="宋体" w:eastAsia="宋体" w:cs="宋体"/>
          <w:b w:val="0"/>
          <w:bCs/>
          <w:snapToGrid w:val="0"/>
          <w:color w:val="000000"/>
          <w:kern w:val="0"/>
          <w:sz w:val="24"/>
          <w:szCs w:val="24"/>
          <w:highlight w:val="none"/>
          <w:lang w:val="en-US" w:eastAsia="zh-CN" w:bidi="ar-SA"/>
        </w:rPr>
        <w:t>（4） 入厂人员名单及所有人员身份证；</w:t>
      </w:r>
    </w:p>
    <w:p w14:paraId="75810B61">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b w:val="0"/>
          <w:bCs/>
          <w:snapToGrid w:val="0"/>
          <w:color w:val="000000"/>
          <w:kern w:val="0"/>
          <w:sz w:val="24"/>
          <w:szCs w:val="24"/>
          <w:highlight w:val="none"/>
          <w:lang w:val="en-US" w:eastAsia="zh-CN" w:bidi="ar-SA"/>
        </w:rPr>
      </w:pPr>
      <w:r>
        <w:rPr>
          <w:rFonts w:hint="eastAsia" w:ascii="宋体" w:hAnsi="宋体" w:eastAsia="宋体" w:cs="宋体"/>
          <w:b w:val="0"/>
          <w:bCs/>
          <w:snapToGrid w:val="0"/>
          <w:color w:val="000000"/>
          <w:kern w:val="0"/>
          <w:sz w:val="24"/>
          <w:szCs w:val="24"/>
          <w:highlight w:val="none"/>
          <w:lang w:val="en-US" w:eastAsia="zh-CN" w:bidi="ar-SA"/>
        </w:rPr>
        <w:t>（5）符合定检和使用要求的安全防护用品、工器具、施工机械及特种设备清单；</w:t>
      </w:r>
    </w:p>
    <w:p w14:paraId="41EBB3B6">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b w:val="0"/>
          <w:bCs/>
          <w:snapToGrid w:val="0"/>
          <w:color w:val="000000"/>
          <w:kern w:val="0"/>
          <w:sz w:val="24"/>
          <w:szCs w:val="24"/>
          <w:highlight w:val="none"/>
          <w:lang w:val="en-US" w:eastAsia="zh-CN" w:bidi="ar-SA"/>
        </w:rPr>
      </w:pPr>
      <w:r>
        <w:rPr>
          <w:rFonts w:hint="eastAsia" w:ascii="宋体" w:hAnsi="宋体" w:eastAsia="宋体" w:cs="宋体"/>
          <w:b w:val="0"/>
          <w:bCs/>
          <w:snapToGrid w:val="0"/>
          <w:color w:val="000000"/>
          <w:kern w:val="0"/>
          <w:sz w:val="24"/>
          <w:szCs w:val="24"/>
          <w:highlight w:val="none"/>
          <w:lang w:val="en-US" w:eastAsia="zh-CN" w:bidi="ar-SA"/>
        </w:rPr>
        <w:t>（6）分包单位相关资料。</w:t>
      </w:r>
    </w:p>
    <w:p w14:paraId="16496C94">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b w:val="0"/>
          <w:bCs/>
          <w:snapToGrid w:val="0"/>
          <w:color w:val="000000"/>
          <w:kern w:val="0"/>
          <w:sz w:val="24"/>
          <w:szCs w:val="24"/>
          <w:highlight w:val="none"/>
          <w:lang w:val="en-US" w:eastAsia="zh-CN" w:bidi="ar-SA"/>
        </w:rPr>
      </w:pPr>
      <w:r>
        <w:rPr>
          <w:rFonts w:hint="eastAsia" w:ascii="宋体" w:hAnsi="宋体" w:eastAsia="宋体" w:cs="宋体"/>
          <w:b w:val="0"/>
          <w:bCs/>
          <w:color w:val="000000"/>
          <w:sz w:val="24"/>
          <w:szCs w:val="24"/>
        </w:rPr>
        <w:t xml:space="preserve">5.2.1.2 </w:t>
      </w:r>
      <w:r>
        <w:rPr>
          <w:rFonts w:hint="eastAsia" w:ascii="宋体" w:hAnsi="宋体" w:eastAsia="宋体" w:cs="宋体"/>
          <w:b w:val="0"/>
          <w:bCs/>
          <w:snapToGrid w:val="0"/>
          <w:color w:val="000000"/>
          <w:kern w:val="0"/>
          <w:sz w:val="24"/>
          <w:szCs w:val="24"/>
          <w:highlight w:val="none"/>
          <w:lang w:val="en-US" w:eastAsia="zh-CN" w:bidi="ar-SA"/>
        </w:rPr>
        <w:t>乙方必须具有法人资格，符合相应资质等级、业务能力和安全生产要求，乙方应根据合同和本协议规定建立项目组织机构和安全管理体系，配备承包项目所需要的项目负责人、管理人员和专业技术人员。</w:t>
      </w:r>
    </w:p>
    <w:p w14:paraId="0627D27A">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b w:val="0"/>
          <w:bCs/>
          <w:snapToGrid w:val="0"/>
          <w:color w:val="000000"/>
          <w:kern w:val="0"/>
          <w:sz w:val="24"/>
          <w:szCs w:val="24"/>
          <w:highlight w:val="none"/>
          <w:lang w:val="en-US" w:eastAsia="zh-CN" w:bidi="ar-SA"/>
        </w:rPr>
      </w:pPr>
      <w:r>
        <w:rPr>
          <w:rFonts w:hint="eastAsia" w:ascii="宋体" w:hAnsi="宋体" w:eastAsia="宋体" w:cs="宋体"/>
          <w:b w:val="0"/>
          <w:bCs/>
          <w:color w:val="000000"/>
          <w:sz w:val="24"/>
          <w:szCs w:val="24"/>
        </w:rPr>
        <w:t xml:space="preserve">5.2.1.3 </w:t>
      </w:r>
      <w:r>
        <w:rPr>
          <w:rFonts w:hint="eastAsia" w:ascii="宋体" w:hAnsi="宋体" w:eastAsia="宋体" w:cs="宋体"/>
          <w:b w:val="0"/>
          <w:bCs/>
          <w:snapToGrid w:val="0"/>
          <w:color w:val="000000"/>
          <w:kern w:val="0"/>
          <w:sz w:val="24"/>
          <w:szCs w:val="24"/>
          <w:highlight w:val="none"/>
          <w:lang w:val="en-US" w:eastAsia="zh-CN" w:bidi="ar-SA"/>
        </w:rPr>
        <w:t>乙方入厂人员30人以下的，至少设置1名兼职安全管理人员；30人以上不足100人的，设置不少于1名专职安全管理人员；100人及以上的，设置不少于2名专职安全管理人员；100人及以上的长期承包单位，应设置独立的安全监督机构。</w:t>
      </w:r>
    </w:p>
    <w:p w14:paraId="2FF9933C">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b w:val="0"/>
          <w:bCs/>
          <w:color w:val="000000"/>
          <w:sz w:val="24"/>
          <w:szCs w:val="24"/>
        </w:rPr>
        <w:t xml:space="preserve">5.2.1.4 </w:t>
      </w:r>
      <w:r>
        <w:rPr>
          <w:rFonts w:hint="eastAsia" w:ascii="宋体" w:hAnsi="宋体" w:eastAsia="宋体" w:cs="宋体"/>
          <w:b w:val="0"/>
          <w:bCs/>
          <w:snapToGrid w:val="0"/>
          <w:color w:val="000000"/>
          <w:kern w:val="0"/>
          <w:sz w:val="24"/>
          <w:szCs w:val="24"/>
          <w:highlight w:val="none"/>
          <w:lang w:val="en-US" w:eastAsia="zh-CN" w:bidi="ar-SA"/>
        </w:rPr>
        <w:t>乙方作业人员应具备必要的安全生产理论知识和实际操作技能，特种作业人员和特种设备作业人员必须按国家有关规定经过专门的安全作业培训，持有相应资格证书，并提交甲方审查备案</w:t>
      </w:r>
      <w:r>
        <w:rPr>
          <w:rFonts w:hint="eastAsia" w:ascii="宋体" w:hAnsi="宋体" w:eastAsia="宋体" w:cs="宋体"/>
          <w:snapToGrid w:val="0"/>
          <w:color w:val="000000"/>
          <w:kern w:val="0"/>
          <w:sz w:val="24"/>
          <w:szCs w:val="24"/>
          <w:highlight w:val="none"/>
          <w:lang w:val="en-US" w:eastAsia="zh-CN" w:bidi="ar-SA"/>
        </w:rPr>
        <w:t>。</w:t>
      </w:r>
    </w:p>
    <w:bookmarkEnd w:id="64"/>
    <w:bookmarkEnd w:id="65"/>
    <w:bookmarkEnd w:id="66"/>
    <w:bookmarkEnd w:id="67"/>
    <w:p w14:paraId="27B1C0C7">
      <w:pPr>
        <w:keepNext w:val="0"/>
        <w:keepLines w:val="0"/>
        <w:pageBreakBefore w:val="0"/>
        <w:widowControl w:val="0"/>
        <w:kinsoku/>
        <w:wordWrap/>
        <w:overflowPunct/>
        <w:topLinePunct w:val="0"/>
        <w:autoSpaceDE/>
        <w:autoSpaceDN/>
        <w:bidi w:val="0"/>
        <w:adjustRightInd w:val="0"/>
        <w:spacing w:line="360" w:lineRule="auto"/>
        <w:ind w:firstLine="480" w:firstLineChars="200"/>
        <w:textAlignment w:val="auto"/>
        <w:rPr>
          <w:rFonts w:hint="eastAsia" w:ascii="宋体" w:hAnsi="宋体" w:eastAsia="宋体" w:cs="宋体"/>
          <w:b w:val="0"/>
          <w:bCs/>
          <w:snapToGrid w:val="0"/>
          <w:color w:val="000000"/>
          <w:kern w:val="0"/>
          <w:sz w:val="24"/>
          <w:szCs w:val="24"/>
          <w:highlight w:val="none"/>
          <w:lang w:val="en-US" w:eastAsia="zh-CN" w:bidi="ar-SA"/>
        </w:rPr>
      </w:pPr>
      <w:bookmarkStart w:id="70" w:name="_Toc484673878"/>
      <w:bookmarkStart w:id="71" w:name="_Toc469918280"/>
      <w:bookmarkStart w:id="72" w:name="_Toc469919378"/>
      <w:bookmarkStart w:id="73" w:name="_Toc469918461"/>
      <w:r>
        <w:rPr>
          <w:rFonts w:hint="eastAsia" w:ascii="宋体" w:hAnsi="宋体" w:eastAsia="宋体" w:cs="宋体"/>
          <w:b w:val="0"/>
          <w:bCs/>
          <w:sz w:val="24"/>
          <w:szCs w:val="24"/>
        </w:rPr>
        <w:t xml:space="preserve">5.2.1.5 </w:t>
      </w:r>
      <w:r>
        <w:rPr>
          <w:rFonts w:hint="eastAsia" w:ascii="宋体" w:hAnsi="宋体" w:eastAsia="宋体" w:cs="宋体"/>
          <w:b w:val="0"/>
          <w:bCs/>
          <w:snapToGrid w:val="0"/>
          <w:color w:val="000000"/>
          <w:kern w:val="0"/>
          <w:sz w:val="24"/>
          <w:szCs w:val="24"/>
          <w:highlight w:val="none"/>
          <w:lang w:val="en-US" w:eastAsia="zh-CN" w:bidi="ar-SA"/>
        </w:rPr>
        <w:t>乙方不得使用未成年工和不适合现场安全作业要求的老、弱、病、残人员；特种作业人员男性不得超过55周岁，女性不得超过45周岁，其它作业人员不得超过国家规定的法定退休年龄；</w:t>
      </w:r>
      <w:bookmarkStart w:id="74" w:name="_Toc486344952"/>
      <w:r>
        <w:rPr>
          <w:rFonts w:hint="eastAsia" w:ascii="宋体" w:hAnsi="宋体" w:eastAsia="宋体" w:cs="宋体"/>
          <w:b w:val="0"/>
          <w:bCs/>
          <w:snapToGrid w:val="0"/>
          <w:color w:val="000000"/>
          <w:kern w:val="0"/>
          <w:sz w:val="24"/>
          <w:szCs w:val="24"/>
          <w:highlight w:val="none"/>
          <w:lang w:val="en-US" w:eastAsia="zh-CN" w:bidi="ar-SA"/>
        </w:rPr>
        <w:t>乙方提供所有作业人员的体检合格证明，作业人员应无所从事职业的禁忌症</w:t>
      </w:r>
      <w:bookmarkEnd w:id="74"/>
      <w:r>
        <w:rPr>
          <w:rFonts w:hint="eastAsia" w:ascii="宋体" w:hAnsi="宋体" w:eastAsia="宋体" w:cs="宋体"/>
          <w:b w:val="0"/>
          <w:bCs/>
          <w:snapToGrid w:val="0"/>
          <w:color w:val="000000"/>
          <w:kern w:val="0"/>
          <w:sz w:val="24"/>
          <w:szCs w:val="24"/>
          <w:highlight w:val="none"/>
          <w:lang w:val="en-US" w:eastAsia="zh-CN" w:bidi="ar-SA"/>
        </w:rPr>
        <w:t>。</w:t>
      </w:r>
    </w:p>
    <w:bookmarkEnd w:id="68"/>
    <w:bookmarkEnd w:id="69"/>
    <w:bookmarkEnd w:id="70"/>
    <w:bookmarkEnd w:id="71"/>
    <w:bookmarkEnd w:id="72"/>
    <w:bookmarkEnd w:id="73"/>
    <w:p w14:paraId="46A5A399">
      <w:pPr>
        <w:keepNext w:val="0"/>
        <w:keepLines w:val="0"/>
        <w:pageBreakBefore w:val="0"/>
        <w:widowControl w:val="0"/>
        <w:kinsoku/>
        <w:wordWrap/>
        <w:overflowPunct/>
        <w:topLinePunct w:val="0"/>
        <w:autoSpaceDE/>
        <w:autoSpaceDN/>
        <w:bidi w:val="0"/>
        <w:adjustRightInd w:val="0"/>
        <w:spacing w:line="360" w:lineRule="auto"/>
        <w:ind w:firstLine="480" w:firstLineChars="200"/>
        <w:textAlignment w:val="auto"/>
        <w:rPr>
          <w:rFonts w:hint="eastAsia" w:ascii="宋体" w:hAnsi="宋体" w:eastAsia="宋体" w:cs="宋体"/>
          <w:snapToGrid w:val="0"/>
          <w:color w:val="000000"/>
          <w:kern w:val="0"/>
          <w:sz w:val="24"/>
          <w:szCs w:val="24"/>
          <w:highlight w:val="none"/>
          <w:lang w:val="en-US" w:eastAsia="zh-CN" w:bidi="ar-SA"/>
        </w:rPr>
      </w:pPr>
      <w:bookmarkStart w:id="75" w:name="_Toc484673886"/>
      <w:bookmarkStart w:id="76" w:name="_Toc485377513"/>
      <w:bookmarkStart w:id="77" w:name="_Toc486344962"/>
      <w:bookmarkStart w:id="78" w:name="_Toc469919389"/>
      <w:bookmarkStart w:id="79" w:name="_Toc469918291"/>
      <w:bookmarkStart w:id="80" w:name="_Toc469918472"/>
      <w:r>
        <w:rPr>
          <w:rFonts w:hint="eastAsia" w:ascii="宋体" w:hAnsi="宋体" w:eastAsia="宋体" w:cs="宋体"/>
          <w:b w:val="0"/>
          <w:bCs/>
          <w:sz w:val="24"/>
          <w:szCs w:val="24"/>
        </w:rPr>
        <w:t xml:space="preserve">5.2.1.6 </w:t>
      </w:r>
      <w:r>
        <w:rPr>
          <w:rFonts w:hint="eastAsia" w:ascii="宋体" w:hAnsi="宋体" w:eastAsia="宋体" w:cs="宋体"/>
          <w:b w:val="0"/>
          <w:bCs/>
          <w:snapToGrid w:val="0"/>
          <w:color w:val="000000"/>
          <w:kern w:val="0"/>
          <w:sz w:val="24"/>
          <w:szCs w:val="24"/>
          <w:highlight w:val="none"/>
          <w:lang w:val="en-US" w:eastAsia="zh-CN" w:bidi="ar-SA"/>
        </w:rPr>
        <w:t>乙方</w:t>
      </w:r>
      <w:r>
        <w:rPr>
          <w:rFonts w:hint="eastAsia" w:ascii="宋体" w:hAnsi="宋体" w:eastAsia="宋体" w:cs="宋体"/>
          <w:snapToGrid w:val="0"/>
          <w:color w:val="000000"/>
          <w:kern w:val="0"/>
          <w:sz w:val="24"/>
          <w:szCs w:val="24"/>
          <w:highlight w:val="none"/>
          <w:lang w:val="en-US" w:eastAsia="zh-CN" w:bidi="ar-SA"/>
        </w:rPr>
        <w:t>应当在入厂前接受甲方的入厂教育培训，经考试合格后方可入厂。同时，乙方还应进行自身安全教育培训，建立安全培训档案，培训内容包括：操作及作业规范、防护用品使用方法、安全风险及防控措施、应急处置措施等</w:t>
      </w:r>
      <w:bookmarkEnd w:id="75"/>
      <w:bookmarkEnd w:id="76"/>
      <w:bookmarkEnd w:id="77"/>
      <w:r>
        <w:rPr>
          <w:rFonts w:hint="eastAsia" w:ascii="宋体" w:hAnsi="宋体" w:eastAsia="宋体" w:cs="宋体"/>
          <w:snapToGrid w:val="0"/>
          <w:color w:val="000000"/>
          <w:kern w:val="0"/>
          <w:sz w:val="24"/>
          <w:szCs w:val="24"/>
          <w:highlight w:val="none"/>
          <w:lang w:val="en-US" w:eastAsia="zh-CN" w:bidi="ar-SA"/>
        </w:rPr>
        <w:t>，培训人员名单和考试成绩报甲方备案。</w:t>
      </w:r>
    </w:p>
    <w:bookmarkEnd w:id="78"/>
    <w:bookmarkEnd w:id="79"/>
    <w:bookmarkEnd w:id="80"/>
    <w:p w14:paraId="57A180A8">
      <w:pPr>
        <w:keepNext w:val="0"/>
        <w:keepLines w:val="0"/>
        <w:pageBreakBefore w:val="0"/>
        <w:widowControl w:val="0"/>
        <w:kinsoku/>
        <w:wordWrap/>
        <w:overflowPunct/>
        <w:topLinePunct w:val="0"/>
        <w:autoSpaceDE/>
        <w:autoSpaceDN/>
        <w:bidi w:val="0"/>
        <w:adjustRightInd w:val="0"/>
        <w:spacing w:line="360" w:lineRule="auto"/>
        <w:ind w:firstLine="480" w:firstLineChars="200"/>
        <w:textAlignment w:val="auto"/>
        <w:rPr>
          <w:rFonts w:hint="eastAsia" w:ascii="宋体" w:hAnsi="宋体" w:eastAsia="宋体" w:cs="宋体"/>
          <w:b w:val="0"/>
          <w:bCs/>
          <w:snapToGrid w:val="0"/>
          <w:color w:val="000000"/>
          <w:kern w:val="0"/>
          <w:sz w:val="24"/>
          <w:szCs w:val="24"/>
          <w:highlight w:val="none"/>
          <w:lang w:val="en-US" w:eastAsia="zh-CN" w:bidi="ar-SA"/>
        </w:rPr>
      </w:pPr>
      <w:bookmarkStart w:id="81" w:name="_Toc486344977"/>
      <w:bookmarkStart w:id="82" w:name="_Toc485377527"/>
      <w:bookmarkStart w:id="83" w:name="_Toc469918311"/>
      <w:bookmarkStart w:id="84" w:name="_Toc484673920"/>
      <w:bookmarkStart w:id="85" w:name="_Toc484673894"/>
      <w:bookmarkStart w:id="86" w:name="_Toc469918492"/>
      <w:bookmarkStart w:id="87" w:name="_Toc469919409"/>
      <w:r>
        <w:rPr>
          <w:rFonts w:hint="eastAsia" w:ascii="宋体" w:hAnsi="宋体" w:eastAsia="宋体" w:cs="宋体"/>
          <w:b w:val="0"/>
          <w:bCs/>
          <w:sz w:val="24"/>
          <w:szCs w:val="24"/>
        </w:rPr>
        <w:t xml:space="preserve">5.2.1.7 </w:t>
      </w:r>
      <w:bookmarkEnd w:id="81"/>
      <w:bookmarkEnd w:id="82"/>
      <w:r>
        <w:rPr>
          <w:rFonts w:hint="eastAsia" w:ascii="宋体" w:hAnsi="宋体" w:eastAsia="宋体" w:cs="宋体"/>
          <w:b w:val="0"/>
          <w:bCs/>
          <w:sz w:val="24"/>
          <w:szCs w:val="24"/>
          <w:lang w:val="en-US" w:eastAsia="zh-CN"/>
        </w:rPr>
        <w:t xml:space="preserve"> </w:t>
      </w:r>
      <w:r>
        <w:rPr>
          <w:rFonts w:hint="eastAsia" w:ascii="宋体" w:hAnsi="宋体" w:eastAsia="宋体" w:cs="宋体"/>
          <w:b w:val="0"/>
          <w:bCs/>
          <w:snapToGrid w:val="0"/>
          <w:color w:val="000000"/>
          <w:kern w:val="0"/>
          <w:sz w:val="24"/>
          <w:szCs w:val="24"/>
          <w:highlight w:val="none"/>
          <w:lang w:val="en-US" w:eastAsia="zh-CN" w:bidi="ar-SA"/>
        </w:rPr>
        <w:t>乙方车辆进出生产区域必须出示有效证件，乙方车辆、施工机械入厂需按甲方指定路线行驶，指定位置停放。</w:t>
      </w:r>
    </w:p>
    <w:p w14:paraId="3FA9B9F8">
      <w:pPr>
        <w:pStyle w:val="9"/>
        <w:keepNext w:val="0"/>
        <w:keepLines w:val="0"/>
        <w:pageBreakBefore w:val="0"/>
        <w:widowControl w:val="0"/>
        <w:kinsoku/>
        <w:wordWrap/>
        <w:overflowPunct/>
        <w:topLinePunct w:val="0"/>
        <w:autoSpaceDE/>
        <w:autoSpaceDN/>
        <w:bidi w:val="0"/>
        <w:spacing w:before="0" w:after="0" w:line="360" w:lineRule="auto"/>
        <w:ind w:firstLine="480" w:firstLineChars="200"/>
        <w:jc w:val="left"/>
        <w:textAlignment w:val="auto"/>
        <w:rPr>
          <w:rFonts w:hint="eastAsia" w:ascii="宋体" w:hAnsi="宋体" w:eastAsia="宋体" w:cs="宋体"/>
          <w:b w:val="0"/>
          <w:bCs w:val="0"/>
          <w:snapToGrid w:val="0"/>
          <w:color w:val="000000"/>
          <w:kern w:val="0"/>
          <w:sz w:val="24"/>
          <w:szCs w:val="24"/>
          <w:highlight w:val="none"/>
          <w:lang w:val="en-US" w:eastAsia="zh-CN" w:bidi="ar-SA"/>
        </w:rPr>
      </w:pPr>
      <w:bookmarkStart w:id="88" w:name="_Toc10445"/>
      <w:bookmarkStart w:id="89" w:name="_Toc21419"/>
      <w:bookmarkStart w:id="90" w:name="_Toc24045"/>
      <w:bookmarkStart w:id="91" w:name="_Toc7673"/>
      <w:bookmarkStart w:id="92" w:name="_Toc486345072"/>
      <w:bookmarkStart w:id="93" w:name="_Toc469919435"/>
      <w:bookmarkStart w:id="94" w:name="_Toc469918518"/>
      <w:bookmarkStart w:id="95" w:name="_Toc484673944"/>
      <w:bookmarkStart w:id="96" w:name="_Toc485377628"/>
      <w:bookmarkStart w:id="97" w:name="_Toc469918337"/>
      <w:r>
        <w:rPr>
          <w:rFonts w:hint="eastAsia" w:ascii="宋体" w:hAnsi="宋体" w:eastAsia="宋体" w:cs="宋体"/>
          <w:b w:val="0"/>
          <w:bCs/>
          <w:sz w:val="24"/>
          <w:szCs w:val="24"/>
        </w:rPr>
        <w:t>5.2.1.8</w:t>
      </w:r>
      <w:r>
        <w:rPr>
          <w:rFonts w:hint="eastAsia" w:ascii="宋体" w:hAnsi="宋体" w:eastAsia="宋体" w:cs="宋体"/>
          <w:b w:val="0"/>
          <w:bCs/>
          <w:snapToGrid w:val="0"/>
          <w:color w:val="000000"/>
          <w:kern w:val="0"/>
          <w:sz w:val="24"/>
          <w:szCs w:val="24"/>
          <w:highlight w:val="none"/>
          <w:lang w:val="en-US" w:eastAsia="zh-CN" w:bidi="ar-SA"/>
        </w:rPr>
        <w:t xml:space="preserve"> 项</w:t>
      </w:r>
      <w:r>
        <w:rPr>
          <w:rFonts w:hint="eastAsia" w:ascii="宋体" w:hAnsi="宋体" w:eastAsia="宋体" w:cs="宋体"/>
          <w:b w:val="0"/>
          <w:bCs w:val="0"/>
          <w:snapToGrid w:val="0"/>
          <w:color w:val="000000"/>
          <w:kern w:val="0"/>
          <w:sz w:val="24"/>
          <w:szCs w:val="24"/>
          <w:highlight w:val="none"/>
          <w:lang w:val="en-US" w:eastAsia="zh-CN" w:bidi="ar-SA"/>
        </w:rPr>
        <w:t>目实行总承包的，乙方应与各分包单位签订安全管理协议，明确安全生产管理职责，乙方负责对分包单位的安全生产统一协调、管理。严禁将承包项目进行转包和违法分包，项目分包应事先得到甲方同意，分包单位有关资质材料应报甲方备案。</w:t>
      </w:r>
      <w:bookmarkEnd w:id="88"/>
      <w:bookmarkEnd w:id="89"/>
      <w:bookmarkEnd w:id="90"/>
      <w:bookmarkEnd w:id="91"/>
    </w:p>
    <w:bookmarkEnd w:id="92"/>
    <w:bookmarkEnd w:id="93"/>
    <w:bookmarkEnd w:id="94"/>
    <w:bookmarkEnd w:id="95"/>
    <w:bookmarkEnd w:id="96"/>
    <w:bookmarkEnd w:id="97"/>
    <w:p w14:paraId="1F81D3B2">
      <w:pPr>
        <w:pStyle w:val="5"/>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 xml:space="preserve">5.2.2 乙方应保证遵守以下规定： </w:t>
      </w:r>
    </w:p>
    <w:p w14:paraId="5762C440">
      <w:pPr>
        <w:keepNext w:val="0"/>
        <w:keepLines w:val="0"/>
        <w:pageBreakBefore w:val="0"/>
        <w:widowControl w:val="0"/>
        <w:kinsoku/>
        <w:wordWrap/>
        <w:overflowPunct/>
        <w:topLinePunct w:val="0"/>
        <w:autoSpaceDE/>
        <w:autoSpaceDN/>
        <w:bidi w:val="0"/>
        <w:adjustRightInd w:val="0"/>
        <w:spacing w:line="360" w:lineRule="auto"/>
        <w:ind w:firstLine="480" w:firstLineChars="200"/>
        <w:textAlignment w:val="auto"/>
        <w:rPr>
          <w:rFonts w:hint="eastAsia" w:ascii="宋体" w:hAnsi="宋体" w:eastAsia="宋体" w:cs="宋体"/>
          <w:b w:val="0"/>
          <w:bCs/>
          <w:snapToGrid w:val="0"/>
          <w:color w:val="000000"/>
          <w:kern w:val="0"/>
          <w:sz w:val="24"/>
          <w:szCs w:val="24"/>
          <w:highlight w:val="none"/>
          <w:lang w:val="en-US" w:eastAsia="zh-CN" w:bidi="ar-SA"/>
        </w:rPr>
      </w:pPr>
      <w:bookmarkStart w:id="98" w:name="_Toc485377603"/>
      <w:bookmarkStart w:id="99" w:name="_Toc486345058"/>
      <w:bookmarkStart w:id="100" w:name="_Toc485377601"/>
      <w:bookmarkStart w:id="101" w:name="_Toc485377523"/>
      <w:bookmarkStart w:id="102" w:name="_Toc486344973"/>
      <w:r>
        <w:rPr>
          <w:rFonts w:hint="eastAsia" w:ascii="宋体" w:hAnsi="宋体" w:eastAsia="宋体" w:cs="宋体"/>
          <w:b w:val="0"/>
          <w:bCs/>
          <w:sz w:val="24"/>
          <w:szCs w:val="24"/>
        </w:rPr>
        <w:t xml:space="preserve">5.2.2.1 </w:t>
      </w:r>
      <w:r>
        <w:rPr>
          <w:rFonts w:hint="eastAsia" w:ascii="宋体" w:hAnsi="宋体" w:eastAsia="宋体" w:cs="宋体"/>
          <w:b w:val="0"/>
          <w:bCs/>
          <w:snapToGrid w:val="0"/>
          <w:color w:val="000000"/>
          <w:kern w:val="0"/>
          <w:sz w:val="24"/>
          <w:szCs w:val="24"/>
          <w:highlight w:val="none"/>
          <w:lang w:val="en-US" w:eastAsia="zh-CN" w:bidi="ar-SA"/>
        </w:rPr>
        <w:t>乙方在承包项目期间不得擅自更换管理及作业人员，如需更换应提前向甲方提出申请，更换或新增加人员必须重新办理入厂手续。乙方所有进入现场的人员必须统一着装，统一安全帽样式及颜色，胸前统一佩戴出入证件，对无出入证件、穿戴不规范的人员，不得进入厂区和施工现场。</w:t>
      </w:r>
    </w:p>
    <w:p w14:paraId="42E102C8">
      <w:pPr>
        <w:keepNext w:val="0"/>
        <w:keepLines w:val="0"/>
        <w:pageBreakBefore w:val="0"/>
        <w:widowControl w:val="0"/>
        <w:kinsoku/>
        <w:wordWrap/>
        <w:overflowPunct/>
        <w:topLinePunct w:val="0"/>
        <w:autoSpaceDE/>
        <w:autoSpaceDN/>
        <w:bidi w:val="0"/>
        <w:adjustRightInd w:val="0"/>
        <w:spacing w:line="360" w:lineRule="auto"/>
        <w:ind w:firstLine="480" w:firstLineChars="200"/>
        <w:textAlignment w:val="auto"/>
        <w:rPr>
          <w:rFonts w:hint="eastAsia" w:ascii="宋体" w:hAnsi="宋体" w:eastAsia="宋体" w:cs="宋体"/>
          <w:snapToGrid w:val="0"/>
          <w:color w:val="000000"/>
          <w:kern w:val="0"/>
          <w:sz w:val="24"/>
          <w:szCs w:val="24"/>
          <w:highlight w:val="none"/>
          <w:lang w:val="en-US" w:eastAsia="zh-CN" w:bidi="ar-SA"/>
        </w:rPr>
      </w:pPr>
      <w:bookmarkStart w:id="103" w:name="_Toc485377543"/>
      <w:bookmarkStart w:id="104" w:name="_Toc484673907"/>
      <w:bookmarkStart w:id="105" w:name="_Toc486345001"/>
      <w:bookmarkStart w:id="106" w:name="_Toc469919405"/>
      <w:bookmarkStart w:id="107" w:name="_Toc469918307"/>
      <w:bookmarkStart w:id="108" w:name="_Toc469918488"/>
      <w:r>
        <w:rPr>
          <w:rFonts w:hint="eastAsia" w:ascii="宋体" w:hAnsi="宋体" w:eastAsia="宋体" w:cs="宋体"/>
          <w:b w:val="0"/>
          <w:bCs/>
          <w:sz w:val="24"/>
          <w:szCs w:val="24"/>
        </w:rPr>
        <w:t xml:space="preserve">5.2.2.2 </w:t>
      </w:r>
      <w:r>
        <w:rPr>
          <w:rFonts w:hint="eastAsia" w:ascii="宋体" w:hAnsi="宋体" w:eastAsia="宋体" w:cs="宋体"/>
          <w:b w:val="0"/>
          <w:bCs/>
          <w:snapToGrid w:val="0"/>
          <w:color w:val="000000"/>
          <w:kern w:val="0"/>
          <w:sz w:val="24"/>
          <w:szCs w:val="24"/>
          <w:highlight w:val="none"/>
          <w:lang w:val="en-US" w:eastAsia="zh-CN" w:bidi="ar-SA"/>
        </w:rPr>
        <w:t>乙方</w:t>
      </w:r>
      <w:r>
        <w:rPr>
          <w:rFonts w:hint="eastAsia" w:ascii="宋体" w:hAnsi="宋体" w:eastAsia="宋体" w:cs="宋体"/>
          <w:snapToGrid w:val="0"/>
          <w:color w:val="000000"/>
          <w:kern w:val="0"/>
          <w:sz w:val="24"/>
          <w:szCs w:val="24"/>
          <w:highlight w:val="none"/>
          <w:lang w:val="en-US" w:eastAsia="zh-CN" w:bidi="ar-SA"/>
        </w:rPr>
        <w:t>工作负责人在开工前应向全体作业人员进行安全交底，如实告知作业场所和工作岗位可能存在的危险因素、防范措施以及现场应急处置程序，并保存完整的记录。</w:t>
      </w:r>
      <w:bookmarkEnd w:id="103"/>
      <w:bookmarkEnd w:id="104"/>
      <w:bookmarkEnd w:id="105"/>
    </w:p>
    <w:bookmarkEnd w:id="106"/>
    <w:bookmarkEnd w:id="107"/>
    <w:bookmarkEnd w:id="108"/>
    <w:p w14:paraId="3982BC3B">
      <w:pPr>
        <w:pStyle w:val="9"/>
        <w:keepNext w:val="0"/>
        <w:keepLines w:val="0"/>
        <w:pageBreakBefore w:val="0"/>
        <w:widowControl w:val="0"/>
        <w:kinsoku/>
        <w:wordWrap/>
        <w:overflowPunct/>
        <w:topLinePunct w:val="0"/>
        <w:autoSpaceDE/>
        <w:autoSpaceDN/>
        <w:bidi w:val="0"/>
        <w:adjustRightInd w:val="0"/>
        <w:spacing w:before="0" w:after="0" w:line="360" w:lineRule="auto"/>
        <w:ind w:firstLine="480" w:firstLineChars="200"/>
        <w:jc w:val="both"/>
        <w:textAlignment w:val="auto"/>
        <w:rPr>
          <w:rFonts w:hint="eastAsia" w:ascii="宋体" w:hAnsi="宋体" w:eastAsia="宋体" w:cs="宋体"/>
          <w:b w:val="0"/>
          <w:bCs/>
          <w:sz w:val="24"/>
          <w:szCs w:val="24"/>
        </w:rPr>
      </w:pPr>
      <w:bookmarkStart w:id="109" w:name="_Toc7114"/>
      <w:bookmarkStart w:id="110" w:name="_Toc21809"/>
      <w:bookmarkStart w:id="111" w:name="_Toc1293"/>
      <w:bookmarkStart w:id="112" w:name="_Toc30443"/>
      <w:r>
        <w:rPr>
          <w:rFonts w:hint="eastAsia" w:ascii="宋体" w:hAnsi="宋体" w:eastAsia="宋体" w:cs="宋体"/>
          <w:b w:val="0"/>
          <w:bCs/>
          <w:sz w:val="24"/>
          <w:szCs w:val="24"/>
        </w:rPr>
        <w:t xml:space="preserve">5.2.2.3 </w:t>
      </w:r>
      <w:bookmarkStart w:id="113" w:name="_Toc486345073"/>
      <w:bookmarkStart w:id="114" w:name="_Toc485377629"/>
      <w:bookmarkStart w:id="115" w:name="_Toc484673945"/>
      <w:r>
        <w:rPr>
          <w:rFonts w:hint="eastAsia" w:ascii="宋体" w:hAnsi="宋体" w:eastAsia="宋体" w:cs="宋体"/>
          <w:b w:val="0"/>
          <w:bCs/>
          <w:sz w:val="24"/>
          <w:szCs w:val="24"/>
        </w:rPr>
        <w:t>乙</w:t>
      </w:r>
      <w:r>
        <w:rPr>
          <w:rFonts w:hint="eastAsia" w:ascii="宋体" w:hAnsi="宋体" w:eastAsia="宋体" w:cs="宋体"/>
          <w:b w:val="0"/>
          <w:bCs/>
          <w:snapToGrid w:val="0"/>
          <w:color w:val="000000"/>
          <w:kern w:val="0"/>
          <w:sz w:val="24"/>
          <w:szCs w:val="24"/>
          <w:highlight w:val="none"/>
          <w:lang w:val="en-US" w:eastAsia="zh-CN" w:bidi="ar-SA"/>
        </w:rPr>
        <w:t>方必须严格执行甲方外包项目开工和</w:t>
      </w:r>
      <w:bookmarkStart w:id="116" w:name="_Toc485377597"/>
      <w:bookmarkStart w:id="117" w:name="_Toc486345052"/>
      <w:r>
        <w:rPr>
          <w:rFonts w:hint="eastAsia" w:ascii="宋体" w:hAnsi="宋体" w:eastAsia="宋体" w:cs="宋体"/>
          <w:b w:val="0"/>
          <w:bCs/>
          <w:snapToGrid w:val="0"/>
          <w:color w:val="000000"/>
          <w:kern w:val="0"/>
          <w:sz w:val="24"/>
          <w:szCs w:val="24"/>
          <w:highlight w:val="none"/>
          <w:lang w:val="en-US" w:eastAsia="zh-CN" w:bidi="ar-SA"/>
        </w:rPr>
        <w:t>工作许可手续，</w:t>
      </w:r>
      <w:bookmarkEnd w:id="116"/>
      <w:bookmarkEnd w:id="117"/>
      <w:r>
        <w:rPr>
          <w:rFonts w:hint="eastAsia" w:ascii="宋体" w:hAnsi="宋体" w:eastAsia="宋体" w:cs="宋体"/>
          <w:b w:val="0"/>
          <w:bCs/>
          <w:snapToGrid w:val="0"/>
          <w:color w:val="000000"/>
          <w:kern w:val="0"/>
          <w:sz w:val="24"/>
          <w:szCs w:val="24"/>
          <w:highlight w:val="none"/>
          <w:lang w:val="en-US" w:eastAsia="zh-CN" w:bidi="ar-SA"/>
        </w:rPr>
        <w:t>临时承包工作和长期承包等需实施“双监护”的工作，甲方监护人未到现场的情况下，乙方人员禁止进入生产现场作业。</w:t>
      </w:r>
      <w:bookmarkEnd w:id="109"/>
      <w:bookmarkEnd w:id="110"/>
      <w:bookmarkEnd w:id="111"/>
      <w:bookmarkEnd w:id="112"/>
    </w:p>
    <w:bookmarkEnd w:id="113"/>
    <w:bookmarkEnd w:id="114"/>
    <w:bookmarkEnd w:id="115"/>
    <w:p w14:paraId="740DF7A7">
      <w:pPr>
        <w:keepNext w:val="0"/>
        <w:keepLines w:val="0"/>
        <w:pageBreakBefore w:val="0"/>
        <w:widowControl w:val="0"/>
        <w:kinsoku/>
        <w:wordWrap/>
        <w:overflowPunct/>
        <w:topLinePunct w:val="0"/>
        <w:autoSpaceDE/>
        <w:autoSpaceDN/>
        <w:bidi w:val="0"/>
        <w:adjustRightInd w:val="0"/>
        <w:spacing w:line="360" w:lineRule="auto"/>
        <w:ind w:firstLine="480" w:firstLineChars="200"/>
        <w:textAlignment w:val="auto"/>
        <w:rPr>
          <w:rFonts w:hint="eastAsia" w:ascii="宋体" w:hAnsi="宋体" w:eastAsia="宋体" w:cs="宋体"/>
          <w:b w:val="0"/>
          <w:bCs/>
          <w:snapToGrid w:val="0"/>
          <w:color w:val="000000"/>
          <w:kern w:val="0"/>
          <w:sz w:val="24"/>
          <w:szCs w:val="24"/>
          <w:highlight w:val="none"/>
          <w:lang w:val="en-US" w:eastAsia="zh-CN" w:bidi="ar-SA"/>
        </w:rPr>
      </w:pPr>
      <w:r>
        <w:rPr>
          <w:rFonts w:hint="eastAsia" w:ascii="宋体" w:hAnsi="宋体" w:eastAsia="宋体" w:cs="宋体"/>
          <w:b w:val="0"/>
          <w:bCs/>
          <w:sz w:val="24"/>
          <w:szCs w:val="24"/>
        </w:rPr>
        <w:t xml:space="preserve">5.2.2.4 </w:t>
      </w:r>
      <w:bookmarkEnd w:id="98"/>
      <w:bookmarkEnd w:id="99"/>
      <w:bookmarkEnd w:id="100"/>
      <w:bookmarkStart w:id="118" w:name="_Toc486345059"/>
      <w:bookmarkStart w:id="119" w:name="_Toc485377604"/>
      <w:r>
        <w:rPr>
          <w:rFonts w:hint="eastAsia" w:ascii="宋体" w:hAnsi="宋体" w:eastAsia="宋体" w:cs="宋体"/>
          <w:b w:val="0"/>
          <w:bCs/>
          <w:snapToGrid w:val="0"/>
          <w:color w:val="000000"/>
          <w:kern w:val="0"/>
          <w:sz w:val="24"/>
          <w:szCs w:val="24"/>
          <w:highlight w:val="none"/>
          <w:lang w:val="en-US" w:eastAsia="zh-CN" w:bidi="ar-SA"/>
        </w:rPr>
        <w:t>乙方必须遵守国家、行业、地方和甲方安全工作规定，作业人员应具备相应资格，配备必要的安全防护用品，作业过程中应正确操作和使用相关设备设施和工器具，严格执行施工作业要求和安全技术措施，不得违章指挥、违章作业。</w:t>
      </w:r>
    </w:p>
    <w:p w14:paraId="07F681D8">
      <w:pPr>
        <w:keepNext w:val="0"/>
        <w:keepLines w:val="0"/>
        <w:pageBreakBefore w:val="0"/>
        <w:widowControl w:val="0"/>
        <w:kinsoku/>
        <w:wordWrap/>
        <w:overflowPunct/>
        <w:topLinePunct w:val="0"/>
        <w:autoSpaceDE/>
        <w:autoSpaceDN/>
        <w:bidi w:val="0"/>
        <w:adjustRightInd w:val="0"/>
        <w:spacing w:line="360" w:lineRule="auto"/>
        <w:ind w:firstLine="480" w:firstLineChars="200"/>
        <w:textAlignment w:val="auto"/>
        <w:rPr>
          <w:rFonts w:hint="eastAsia" w:ascii="宋体" w:hAnsi="宋体" w:eastAsia="宋体" w:cs="宋体"/>
          <w:b w:val="0"/>
          <w:bCs/>
          <w:snapToGrid w:val="0"/>
          <w:color w:val="000000"/>
          <w:kern w:val="0"/>
          <w:sz w:val="24"/>
          <w:szCs w:val="24"/>
          <w:highlight w:val="none"/>
          <w:lang w:val="en-US" w:eastAsia="zh-CN" w:bidi="ar-SA"/>
        </w:rPr>
      </w:pPr>
      <w:r>
        <w:rPr>
          <w:rFonts w:hint="eastAsia" w:ascii="宋体" w:hAnsi="宋体" w:eastAsia="宋体" w:cs="宋体"/>
          <w:b w:val="0"/>
          <w:bCs/>
          <w:sz w:val="24"/>
          <w:szCs w:val="24"/>
        </w:rPr>
        <w:t xml:space="preserve">5.2.2.5 </w:t>
      </w:r>
      <w:r>
        <w:rPr>
          <w:rFonts w:hint="eastAsia" w:ascii="宋体" w:hAnsi="宋体" w:eastAsia="宋体" w:cs="宋体"/>
          <w:b w:val="0"/>
          <w:bCs/>
          <w:snapToGrid w:val="0"/>
          <w:color w:val="000000"/>
          <w:kern w:val="0"/>
          <w:sz w:val="24"/>
          <w:szCs w:val="24"/>
          <w:highlight w:val="none"/>
          <w:lang w:val="en-US" w:eastAsia="zh-CN" w:bidi="ar-SA"/>
        </w:rPr>
        <w:t>乙方施工区域应进行必要封闭或隔离，不得超越指定范围进行施工，施工区域、临时建筑物等应当符合安全距离和安全使用要求。施工范围设置安全防护和警告标志，安全防护设施和标志应符合甲方标准，不得擅自拆除、变更甲方安全防护设施及标志。</w:t>
      </w:r>
    </w:p>
    <w:p w14:paraId="23161777">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b w:val="0"/>
          <w:bCs/>
          <w:snapToGrid w:val="0"/>
          <w:color w:val="000000"/>
          <w:kern w:val="0"/>
          <w:sz w:val="24"/>
          <w:szCs w:val="24"/>
          <w:highlight w:val="none"/>
          <w:lang w:val="en-US" w:eastAsia="zh-CN" w:bidi="ar-SA"/>
        </w:rPr>
      </w:pPr>
      <w:r>
        <w:rPr>
          <w:rFonts w:hint="eastAsia" w:ascii="宋体" w:hAnsi="宋体" w:eastAsia="宋体" w:cs="宋体"/>
          <w:b w:val="0"/>
          <w:bCs/>
          <w:color w:val="000000"/>
          <w:sz w:val="24"/>
          <w:szCs w:val="24"/>
        </w:rPr>
        <w:t xml:space="preserve">5.2.2.6 </w:t>
      </w:r>
      <w:r>
        <w:rPr>
          <w:rFonts w:hint="eastAsia" w:ascii="宋体" w:hAnsi="宋体" w:eastAsia="宋体" w:cs="宋体"/>
          <w:b w:val="0"/>
          <w:bCs/>
          <w:snapToGrid w:val="0"/>
          <w:color w:val="000000"/>
          <w:kern w:val="0"/>
          <w:sz w:val="24"/>
          <w:szCs w:val="24"/>
          <w:highlight w:val="none"/>
          <w:lang w:val="en-US" w:eastAsia="zh-CN" w:bidi="ar-SA"/>
        </w:rPr>
        <w:t>未经甲方同意，乙方不得擅自使用甲方设备设施，乙方施工过程中需要使用电、汽、气、水源，应向甲方提出使用申请，得到许可后方可依据接入点允许负荷容量限额使用，不得私拉乱接。</w:t>
      </w:r>
    </w:p>
    <w:p w14:paraId="4C16FABB">
      <w:pPr>
        <w:keepNext w:val="0"/>
        <w:keepLines w:val="0"/>
        <w:pageBreakBefore w:val="0"/>
        <w:widowControl w:val="0"/>
        <w:kinsoku/>
        <w:wordWrap/>
        <w:overflowPunct/>
        <w:topLinePunct w:val="0"/>
        <w:autoSpaceDE/>
        <w:autoSpaceDN/>
        <w:bidi w:val="0"/>
        <w:adjustRightInd w:val="0"/>
        <w:spacing w:line="360" w:lineRule="auto"/>
        <w:ind w:firstLine="480" w:firstLineChars="200"/>
        <w:textAlignment w:val="auto"/>
        <w:rPr>
          <w:rFonts w:hint="eastAsia" w:ascii="宋体" w:hAnsi="宋体" w:eastAsia="宋体" w:cs="宋体"/>
          <w:b w:val="0"/>
          <w:bCs/>
          <w:snapToGrid w:val="0"/>
          <w:color w:val="000000"/>
          <w:kern w:val="0"/>
          <w:sz w:val="24"/>
          <w:szCs w:val="24"/>
          <w:highlight w:val="none"/>
          <w:lang w:val="en-US" w:eastAsia="zh-CN" w:bidi="ar-SA"/>
        </w:rPr>
      </w:pPr>
      <w:r>
        <w:rPr>
          <w:rFonts w:hint="eastAsia" w:ascii="宋体" w:hAnsi="宋体" w:eastAsia="宋体" w:cs="宋体"/>
          <w:b w:val="0"/>
          <w:bCs/>
          <w:color w:val="000000"/>
          <w:kern w:val="2"/>
          <w:sz w:val="24"/>
          <w:szCs w:val="24"/>
          <w:lang w:val="en-US" w:eastAsia="zh-CN" w:bidi="ar-SA"/>
        </w:rPr>
        <w:t xml:space="preserve">5.2.2.7 </w:t>
      </w:r>
      <w:bookmarkEnd w:id="118"/>
      <w:bookmarkEnd w:id="119"/>
      <w:r>
        <w:rPr>
          <w:rFonts w:hint="eastAsia" w:ascii="宋体" w:hAnsi="宋体" w:eastAsia="宋体" w:cs="宋体"/>
          <w:b w:val="0"/>
          <w:bCs/>
          <w:snapToGrid w:val="0"/>
          <w:color w:val="000000"/>
          <w:kern w:val="0"/>
          <w:sz w:val="24"/>
          <w:szCs w:val="24"/>
          <w:highlight w:val="none"/>
          <w:lang w:val="en-US" w:eastAsia="zh-CN" w:bidi="ar-SA"/>
        </w:rPr>
        <w:t>乙方应确定施工现场消防安全责任人，根据需要在施工现场设置消防通道，配备消防设施和灭火器材，安排专人管理，并定期进行检查。</w:t>
      </w:r>
      <w:bookmarkStart w:id="120" w:name="_Toc486345038"/>
      <w:bookmarkStart w:id="121" w:name="_Toc485377582"/>
      <w:r>
        <w:rPr>
          <w:rFonts w:hint="eastAsia" w:ascii="宋体" w:hAnsi="宋体" w:eastAsia="宋体" w:cs="宋体"/>
          <w:b w:val="0"/>
          <w:bCs/>
          <w:snapToGrid w:val="0"/>
          <w:color w:val="000000"/>
          <w:kern w:val="0"/>
          <w:sz w:val="24"/>
          <w:szCs w:val="24"/>
          <w:highlight w:val="none"/>
          <w:lang w:val="en-US" w:eastAsia="zh-CN" w:bidi="ar-SA"/>
        </w:rPr>
        <w:t>使用甲方消防设施时应经甲方同意。</w:t>
      </w:r>
      <w:bookmarkEnd w:id="120"/>
      <w:bookmarkEnd w:id="121"/>
    </w:p>
    <w:p w14:paraId="60F55E92">
      <w:pPr>
        <w:keepNext w:val="0"/>
        <w:keepLines w:val="0"/>
        <w:pageBreakBefore w:val="0"/>
        <w:widowControl w:val="0"/>
        <w:kinsoku/>
        <w:wordWrap/>
        <w:overflowPunct/>
        <w:topLinePunct w:val="0"/>
        <w:autoSpaceDE/>
        <w:autoSpaceDN/>
        <w:bidi w:val="0"/>
        <w:adjustRightInd w:val="0"/>
        <w:spacing w:line="360" w:lineRule="auto"/>
        <w:ind w:firstLine="480" w:firstLineChars="200"/>
        <w:textAlignment w:val="auto"/>
        <w:rPr>
          <w:rFonts w:hint="eastAsia" w:ascii="宋体" w:hAnsi="宋体" w:eastAsia="宋体" w:cs="宋体"/>
          <w:b w:val="0"/>
          <w:bCs/>
          <w:snapToGrid w:val="0"/>
          <w:color w:val="000000"/>
          <w:kern w:val="0"/>
          <w:sz w:val="24"/>
          <w:szCs w:val="24"/>
          <w:highlight w:val="none"/>
          <w:lang w:val="en-US" w:eastAsia="zh-CN" w:bidi="ar-SA"/>
        </w:rPr>
      </w:pPr>
      <w:r>
        <w:rPr>
          <w:rFonts w:hint="eastAsia" w:ascii="宋体" w:hAnsi="宋体" w:eastAsia="宋体" w:cs="宋体"/>
          <w:b w:val="0"/>
          <w:bCs/>
          <w:sz w:val="24"/>
          <w:szCs w:val="24"/>
        </w:rPr>
        <w:t xml:space="preserve">5.2.2.8 </w:t>
      </w:r>
      <w:bookmarkStart w:id="122" w:name="_Toc441138374"/>
      <w:bookmarkStart w:id="123" w:name="_Toc485377624"/>
      <w:bookmarkStart w:id="124" w:name="_Toc484673934"/>
      <w:bookmarkStart w:id="125" w:name="_Toc486344991"/>
      <w:bookmarkStart w:id="126" w:name="_Toc469918326"/>
      <w:bookmarkStart w:id="127" w:name="_Toc469919424"/>
      <w:bookmarkStart w:id="128" w:name="_Toc469918507"/>
      <w:r>
        <w:rPr>
          <w:rFonts w:hint="eastAsia" w:ascii="宋体" w:hAnsi="宋体" w:eastAsia="宋体" w:cs="宋体"/>
          <w:b w:val="0"/>
          <w:bCs/>
          <w:snapToGrid w:val="0"/>
          <w:color w:val="000000"/>
          <w:kern w:val="0"/>
          <w:sz w:val="24"/>
          <w:szCs w:val="24"/>
          <w:highlight w:val="none"/>
          <w:lang w:val="en-US" w:eastAsia="zh-CN" w:bidi="ar-SA"/>
        </w:rPr>
        <w:t>乙方应定期开展安全检查、安全学习培训等活动，贯彻落实甲方安全工作要求，接受甲方监督检查，对发现问题和隐患应整改，发现重大隐患必须及时通知甲方。</w:t>
      </w:r>
    </w:p>
    <w:p w14:paraId="6E5E39D7">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b w:val="0"/>
          <w:bCs/>
          <w:sz w:val="24"/>
          <w:szCs w:val="24"/>
        </w:rPr>
        <w:t xml:space="preserve">5.2.2.9 </w:t>
      </w:r>
      <w:r>
        <w:rPr>
          <w:rFonts w:hint="eastAsia" w:ascii="宋体" w:hAnsi="宋体" w:eastAsia="宋体" w:cs="宋体"/>
          <w:b w:val="0"/>
          <w:bCs/>
          <w:snapToGrid w:val="0"/>
          <w:color w:val="000000"/>
          <w:kern w:val="0"/>
          <w:sz w:val="24"/>
          <w:szCs w:val="24"/>
          <w:highlight w:val="none"/>
          <w:lang w:val="en-US" w:eastAsia="zh-CN" w:bidi="ar-SA"/>
        </w:rPr>
        <w:t>乙方应</w:t>
      </w:r>
      <w:r>
        <w:rPr>
          <w:rFonts w:hint="eastAsia" w:ascii="宋体" w:hAnsi="宋体" w:eastAsia="宋体" w:cs="宋体"/>
          <w:snapToGrid w:val="0"/>
          <w:color w:val="000000"/>
          <w:kern w:val="0"/>
          <w:sz w:val="24"/>
          <w:szCs w:val="24"/>
          <w:highlight w:val="none"/>
          <w:lang w:val="en-US" w:eastAsia="zh-CN" w:bidi="ar-SA"/>
        </w:rPr>
        <w:t>按照国家法律法规及甲方安全管理要求，做好环境保护工作。有毒有害废弃物乙方应联系专业机构进行妥善处置，处置过程应在甲方监督下进行。</w:t>
      </w:r>
    </w:p>
    <w:bookmarkEnd w:id="122"/>
    <w:bookmarkEnd w:id="123"/>
    <w:bookmarkEnd w:id="124"/>
    <w:bookmarkEnd w:id="125"/>
    <w:bookmarkEnd w:id="126"/>
    <w:bookmarkEnd w:id="127"/>
    <w:bookmarkEnd w:id="128"/>
    <w:p w14:paraId="1BE9A878">
      <w:pPr>
        <w:keepNext w:val="0"/>
        <w:keepLines w:val="0"/>
        <w:pageBreakBefore w:val="0"/>
        <w:widowControl w:val="0"/>
        <w:kinsoku/>
        <w:wordWrap/>
        <w:overflowPunct/>
        <w:topLinePunct w:val="0"/>
        <w:autoSpaceDE/>
        <w:autoSpaceDN/>
        <w:bidi w:val="0"/>
        <w:adjustRightInd w:val="0"/>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6</w:t>
      </w:r>
      <w:r>
        <w:rPr>
          <w:rFonts w:hint="eastAsia" w:ascii="宋体" w:hAnsi="宋体" w:eastAsia="宋体" w:cs="宋体"/>
          <w:b/>
          <w:sz w:val="24"/>
          <w:szCs w:val="24"/>
          <w:lang w:val="en-US" w:eastAsia="zh-CN"/>
        </w:rPr>
        <w:t>.</w:t>
      </w:r>
      <w:r>
        <w:rPr>
          <w:rFonts w:hint="eastAsia" w:ascii="宋体" w:hAnsi="宋体" w:eastAsia="宋体" w:cs="宋体"/>
          <w:b/>
          <w:sz w:val="24"/>
          <w:szCs w:val="24"/>
        </w:rPr>
        <w:t>事故及违约责任</w:t>
      </w:r>
    </w:p>
    <w:p w14:paraId="5D65554F">
      <w:pPr>
        <w:keepNext w:val="0"/>
        <w:keepLines w:val="0"/>
        <w:pageBreakBefore w:val="0"/>
        <w:widowControl w:val="0"/>
        <w:kinsoku/>
        <w:wordWrap/>
        <w:overflowPunct/>
        <w:topLinePunct w:val="0"/>
        <w:autoSpaceDE/>
        <w:autoSpaceDN/>
        <w:bidi w:val="0"/>
        <w:adjustRightInd w:val="0"/>
        <w:spacing w:line="360" w:lineRule="auto"/>
        <w:ind w:firstLine="480" w:firstLineChars="200"/>
        <w:textAlignment w:val="auto"/>
        <w:rPr>
          <w:rFonts w:hint="eastAsia" w:ascii="宋体" w:hAnsi="宋体" w:eastAsia="宋体" w:cs="宋体"/>
          <w:b w:val="0"/>
          <w:bCs/>
          <w:snapToGrid w:val="0"/>
          <w:color w:val="000000"/>
          <w:kern w:val="0"/>
          <w:sz w:val="24"/>
          <w:szCs w:val="24"/>
          <w:highlight w:val="none"/>
          <w:lang w:val="en-US" w:eastAsia="zh-CN" w:bidi="ar-SA"/>
        </w:rPr>
      </w:pPr>
      <w:r>
        <w:rPr>
          <w:rFonts w:hint="eastAsia" w:ascii="宋体" w:hAnsi="宋体" w:eastAsia="宋体" w:cs="宋体"/>
          <w:b w:val="0"/>
          <w:bCs/>
          <w:sz w:val="24"/>
          <w:szCs w:val="24"/>
        </w:rPr>
        <w:t>6.1</w:t>
      </w:r>
      <w:r>
        <w:rPr>
          <w:rFonts w:hint="eastAsia" w:ascii="宋体" w:hAnsi="宋体" w:eastAsia="宋体" w:cs="宋体"/>
          <w:b w:val="0"/>
          <w:bCs/>
          <w:sz w:val="24"/>
          <w:szCs w:val="24"/>
          <w:lang w:val="en-US" w:eastAsia="zh-CN"/>
        </w:rPr>
        <w:t xml:space="preserve"> </w:t>
      </w:r>
      <w:r>
        <w:rPr>
          <w:rFonts w:hint="eastAsia" w:ascii="宋体" w:hAnsi="宋体" w:eastAsia="宋体" w:cs="宋体"/>
          <w:b w:val="0"/>
          <w:bCs/>
          <w:snapToGrid w:val="0"/>
          <w:color w:val="000000"/>
          <w:kern w:val="0"/>
          <w:sz w:val="24"/>
          <w:szCs w:val="24"/>
          <w:highlight w:val="none"/>
          <w:lang w:val="en-US" w:eastAsia="zh-CN" w:bidi="ar-SA"/>
        </w:rPr>
        <w:t>乙方发生违章或不安全事件时，甲方可根据合同协议和本单位管理规定，向乙方提出整改要求或进行处罚。乙方未及时整改、拒绝整改的，甲方应要求乙方立即停止施工，待整改工作验收合格后方可复工，由此造成的一切经济损失和工期延误责任由乙方负责。</w:t>
      </w:r>
    </w:p>
    <w:p w14:paraId="2E190021">
      <w:pPr>
        <w:keepNext w:val="0"/>
        <w:keepLines w:val="0"/>
        <w:pageBreakBefore w:val="0"/>
        <w:widowControl w:val="0"/>
        <w:kinsoku/>
        <w:wordWrap/>
        <w:overflowPunct/>
        <w:topLinePunct w:val="0"/>
        <w:autoSpaceDE/>
        <w:autoSpaceDN/>
        <w:bidi w:val="0"/>
        <w:adjustRightInd w:val="0"/>
        <w:spacing w:line="360" w:lineRule="auto"/>
        <w:ind w:firstLine="480" w:firstLineChars="200"/>
        <w:textAlignment w:val="auto"/>
        <w:rPr>
          <w:rFonts w:hint="eastAsia" w:ascii="宋体" w:hAnsi="宋体" w:eastAsia="宋体" w:cs="宋体"/>
          <w:b w:val="0"/>
          <w:bCs/>
          <w:snapToGrid w:val="0"/>
          <w:color w:val="000000"/>
          <w:kern w:val="0"/>
          <w:sz w:val="24"/>
          <w:szCs w:val="24"/>
          <w:highlight w:val="none"/>
          <w:lang w:val="en-US" w:eastAsia="zh-CN" w:bidi="ar-SA"/>
        </w:rPr>
      </w:pPr>
      <w:r>
        <w:rPr>
          <w:rFonts w:hint="eastAsia" w:ascii="宋体" w:hAnsi="宋体" w:eastAsia="宋体" w:cs="宋体"/>
          <w:b w:val="0"/>
          <w:bCs/>
          <w:color w:val="000000"/>
          <w:sz w:val="24"/>
          <w:szCs w:val="24"/>
        </w:rPr>
        <w:t>6.2</w:t>
      </w:r>
      <w:r>
        <w:rPr>
          <w:rFonts w:hint="eastAsia" w:ascii="宋体" w:hAnsi="宋体" w:eastAsia="宋体" w:cs="宋体"/>
          <w:b w:val="0"/>
          <w:bCs/>
          <w:color w:val="000000"/>
          <w:sz w:val="24"/>
          <w:szCs w:val="24"/>
          <w:lang w:val="en-US" w:eastAsia="zh-CN"/>
        </w:rPr>
        <w:t xml:space="preserve"> </w:t>
      </w:r>
      <w:r>
        <w:rPr>
          <w:rFonts w:hint="eastAsia" w:ascii="宋体" w:hAnsi="宋体" w:eastAsia="宋体" w:cs="宋体"/>
          <w:b w:val="0"/>
          <w:bCs/>
          <w:snapToGrid w:val="0"/>
          <w:color w:val="000000"/>
          <w:kern w:val="0"/>
          <w:sz w:val="24"/>
          <w:szCs w:val="24"/>
          <w:highlight w:val="none"/>
          <w:lang w:val="en-US" w:eastAsia="zh-CN" w:bidi="ar-SA"/>
        </w:rPr>
        <w:t>承包项目实施过程中，由于乙方原因发生不安全事件或事故（人身伤亡、设备损坏、火灾、交通、环境污染和坍塌事故等）的，由乙方承担事故责任。乙方应在事发第一时间报告甲方，按有关规定和甲方要求上报地方政府相关部门，并配合进行事故调查和处理。</w:t>
      </w:r>
    </w:p>
    <w:p w14:paraId="54FD84FE">
      <w:pPr>
        <w:keepNext w:val="0"/>
        <w:keepLines w:val="0"/>
        <w:pageBreakBefore w:val="0"/>
        <w:widowControl w:val="0"/>
        <w:kinsoku/>
        <w:wordWrap/>
        <w:overflowPunct/>
        <w:topLinePunct w:val="0"/>
        <w:autoSpaceDE/>
        <w:autoSpaceDN/>
        <w:bidi w:val="0"/>
        <w:adjustRightInd w:val="0"/>
        <w:spacing w:line="360" w:lineRule="auto"/>
        <w:ind w:firstLine="480" w:firstLineChars="200"/>
        <w:textAlignment w:val="auto"/>
        <w:rPr>
          <w:rFonts w:hint="eastAsia" w:ascii="宋体" w:hAnsi="宋体" w:eastAsia="宋体" w:cs="宋体"/>
          <w:b w:val="0"/>
          <w:bCs/>
          <w:snapToGrid w:val="0"/>
          <w:color w:val="000000"/>
          <w:kern w:val="0"/>
          <w:sz w:val="24"/>
          <w:szCs w:val="24"/>
          <w:highlight w:val="none"/>
          <w:lang w:val="en-US" w:eastAsia="zh-CN" w:bidi="ar-SA"/>
        </w:rPr>
      </w:pPr>
      <w:r>
        <w:rPr>
          <w:rFonts w:hint="eastAsia" w:ascii="宋体" w:hAnsi="宋体" w:eastAsia="宋体" w:cs="宋体"/>
          <w:b w:val="0"/>
          <w:bCs/>
          <w:sz w:val="24"/>
          <w:szCs w:val="24"/>
        </w:rPr>
        <w:t>6.3</w:t>
      </w:r>
      <w:r>
        <w:rPr>
          <w:rFonts w:hint="eastAsia" w:ascii="宋体" w:hAnsi="宋体" w:eastAsia="宋体" w:cs="宋体"/>
          <w:b w:val="0"/>
          <w:bCs/>
          <w:sz w:val="24"/>
          <w:szCs w:val="24"/>
          <w:lang w:val="en-US" w:eastAsia="zh-CN"/>
        </w:rPr>
        <w:t xml:space="preserve"> </w:t>
      </w:r>
      <w:r>
        <w:rPr>
          <w:rFonts w:hint="eastAsia" w:ascii="宋体" w:hAnsi="宋体" w:eastAsia="宋体" w:cs="宋体"/>
          <w:b w:val="0"/>
          <w:bCs/>
          <w:snapToGrid w:val="0"/>
          <w:color w:val="000000"/>
          <w:kern w:val="0"/>
          <w:sz w:val="24"/>
          <w:szCs w:val="24"/>
          <w:highlight w:val="none"/>
          <w:lang w:val="en-US" w:eastAsia="zh-CN" w:bidi="ar-SA"/>
        </w:rPr>
        <w:t>由于甲方或乙方过错造成对方或第三方的人身伤害、设备损坏及财产损失，由责任方承担相应责任，并赔偿因此造成的对方或第三方全部经济损失。</w:t>
      </w:r>
    </w:p>
    <w:p w14:paraId="0B1B6D59">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b w:val="0"/>
          <w:bCs/>
          <w:snapToGrid w:val="0"/>
          <w:color w:val="000000"/>
          <w:kern w:val="0"/>
          <w:sz w:val="24"/>
          <w:szCs w:val="24"/>
          <w:highlight w:val="none"/>
          <w:lang w:val="en-US" w:eastAsia="zh-CN" w:bidi="ar-SA"/>
        </w:rPr>
      </w:pPr>
      <w:r>
        <w:rPr>
          <w:rFonts w:hint="eastAsia" w:ascii="宋体" w:hAnsi="宋体" w:eastAsia="宋体" w:cs="宋体"/>
          <w:b w:val="0"/>
          <w:bCs/>
          <w:color w:val="000000"/>
          <w:sz w:val="24"/>
          <w:szCs w:val="24"/>
        </w:rPr>
        <w:t xml:space="preserve">6.4 </w:t>
      </w:r>
      <w:r>
        <w:rPr>
          <w:rFonts w:hint="eastAsia" w:ascii="宋体" w:hAnsi="宋体" w:eastAsia="宋体" w:cs="宋体"/>
          <w:b w:val="0"/>
          <w:bCs/>
          <w:snapToGrid w:val="0"/>
          <w:color w:val="000000"/>
          <w:kern w:val="0"/>
          <w:sz w:val="24"/>
          <w:szCs w:val="24"/>
          <w:highlight w:val="none"/>
          <w:lang w:val="en-US" w:eastAsia="zh-CN" w:bidi="ar-SA"/>
        </w:rPr>
        <w:t>如乙方提供虚假资质材料，甲方有权中止或解除合同，乙方承担由此造成的一切损失。</w:t>
      </w:r>
    </w:p>
    <w:p w14:paraId="12F797FD">
      <w:pPr>
        <w:keepNext w:val="0"/>
        <w:keepLines w:val="0"/>
        <w:pageBreakBefore w:val="0"/>
        <w:widowControl w:val="0"/>
        <w:kinsoku/>
        <w:wordWrap/>
        <w:overflowPunct/>
        <w:topLinePunct w:val="0"/>
        <w:autoSpaceDE/>
        <w:autoSpaceDN/>
        <w:bidi w:val="0"/>
        <w:adjustRightInd w:val="0"/>
        <w:spacing w:line="360" w:lineRule="auto"/>
        <w:ind w:firstLine="480" w:firstLineChars="200"/>
        <w:textAlignment w:val="auto"/>
        <w:rPr>
          <w:rFonts w:hint="eastAsia" w:ascii="宋体" w:hAnsi="宋体" w:eastAsia="宋体" w:cs="宋体"/>
          <w:b w:val="0"/>
          <w:bCs/>
          <w:snapToGrid w:val="0"/>
          <w:color w:val="000000"/>
          <w:kern w:val="0"/>
          <w:sz w:val="24"/>
          <w:szCs w:val="24"/>
          <w:highlight w:val="none"/>
          <w:lang w:val="en-US" w:eastAsia="zh-CN" w:bidi="ar-SA"/>
        </w:rPr>
      </w:pPr>
      <w:r>
        <w:rPr>
          <w:rFonts w:hint="eastAsia" w:ascii="宋体" w:hAnsi="宋体" w:eastAsia="宋体" w:cs="宋体"/>
          <w:b w:val="0"/>
          <w:bCs/>
          <w:sz w:val="24"/>
          <w:szCs w:val="24"/>
        </w:rPr>
        <w:t xml:space="preserve">6.5 </w:t>
      </w:r>
      <w:r>
        <w:rPr>
          <w:rFonts w:hint="eastAsia" w:ascii="宋体" w:hAnsi="宋体" w:eastAsia="宋体" w:cs="宋体"/>
          <w:b w:val="0"/>
          <w:bCs/>
          <w:snapToGrid w:val="0"/>
          <w:color w:val="000000"/>
          <w:kern w:val="0"/>
          <w:sz w:val="24"/>
          <w:szCs w:val="24"/>
          <w:highlight w:val="none"/>
          <w:lang w:val="en-US" w:eastAsia="zh-CN" w:bidi="ar-SA"/>
        </w:rPr>
        <w:t>项目完成后，由甲方或委托有关单位进行验收，乙方在结清有关违章等安全处罚款项，并落实遗留问题处理责任后，方可结算合同款。</w:t>
      </w:r>
    </w:p>
    <w:p w14:paraId="3D4A981D">
      <w:pPr>
        <w:keepNext w:val="0"/>
        <w:keepLines w:val="0"/>
        <w:pageBreakBefore w:val="0"/>
        <w:widowControl w:val="0"/>
        <w:kinsoku/>
        <w:wordWrap/>
        <w:overflowPunct/>
        <w:topLinePunct w:val="0"/>
        <w:autoSpaceDE/>
        <w:autoSpaceDN/>
        <w:bidi w:val="0"/>
        <w:adjustRightInd w:val="0"/>
        <w:spacing w:line="360" w:lineRule="auto"/>
        <w:ind w:firstLine="480" w:firstLineChars="200"/>
        <w:textAlignment w:val="auto"/>
        <w:rPr>
          <w:rFonts w:hint="eastAsia" w:ascii="宋体" w:hAnsi="宋体" w:eastAsia="宋体" w:cs="宋体"/>
          <w:b w:val="0"/>
          <w:bCs/>
          <w:snapToGrid w:val="0"/>
          <w:color w:val="000000"/>
          <w:kern w:val="0"/>
          <w:sz w:val="24"/>
          <w:szCs w:val="24"/>
          <w:highlight w:val="none"/>
          <w:lang w:val="en-US" w:eastAsia="zh-CN" w:bidi="ar-SA"/>
        </w:rPr>
      </w:pPr>
      <w:r>
        <w:rPr>
          <w:rFonts w:hint="eastAsia" w:ascii="宋体" w:hAnsi="宋体" w:eastAsia="宋体" w:cs="宋体"/>
          <w:b w:val="0"/>
          <w:bCs/>
          <w:sz w:val="24"/>
          <w:szCs w:val="24"/>
        </w:rPr>
        <w:t>6.6</w:t>
      </w:r>
      <w:r>
        <w:rPr>
          <w:rFonts w:hint="eastAsia" w:ascii="宋体" w:hAnsi="宋体" w:eastAsia="宋体" w:cs="宋体"/>
          <w:b w:val="0"/>
          <w:bCs/>
          <w:snapToGrid w:val="0"/>
          <w:color w:val="000000"/>
          <w:kern w:val="0"/>
          <w:sz w:val="24"/>
          <w:szCs w:val="24"/>
          <w:highlight w:val="none"/>
          <w:lang w:val="en-US" w:eastAsia="zh-CN" w:bidi="ar-SA"/>
        </w:rPr>
        <w:t xml:space="preserve"> 因施工质量等原因，项目在交付甲方使用中出现安全问题，在合同规定的追溯期内，乙方负责承担相应的经济或法律责任。</w:t>
      </w:r>
    </w:p>
    <w:p w14:paraId="118C0158">
      <w:pPr>
        <w:keepNext w:val="0"/>
        <w:keepLines w:val="0"/>
        <w:pageBreakBefore w:val="0"/>
        <w:widowControl w:val="0"/>
        <w:kinsoku/>
        <w:wordWrap/>
        <w:overflowPunct/>
        <w:topLinePunct w:val="0"/>
        <w:autoSpaceDE/>
        <w:autoSpaceDN/>
        <w:bidi w:val="0"/>
        <w:adjustRightInd w:val="0"/>
        <w:spacing w:line="360" w:lineRule="auto"/>
        <w:ind w:firstLine="480" w:firstLineChars="200"/>
        <w:textAlignment w:val="auto"/>
        <w:rPr>
          <w:rFonts w:hint="eastAsia" w:ascii="宋体" w:hAnsi="宋体" w:eastAsia="宋体" w:cs="宋体"/>
          <w:b w:val="0"/>
          <w:bCs/>
          <w:snapToGrid w:val="0"/>
          <w:color w:val="000000"/>
          <w:kern w:val="0"/>
          <w:sz w:val="24"/>
          <w:szCs w:val="24"/>
          <w:highlight w:val="none"/>
          <w:lang w:val="en-US" w:eastAsia="zh-CN" w:bidi="ar-SA"/>
        </w:rPr>
      </w:pPr>
      <w:bookmarkStart w:id="129" w:name="_Toc485377649"/>
      <w:bookmarkStart w:id="130" w:name="_Toc484673966"/>
      <w:bookmarkStart w:id="131" w:name="_Toc486345091"/>
      <w:bookmarkStart w:id="132" w:name="_Toc469918542"/>
      <w:bookmarkStart w:id="133" w:name="_Toc469919459"/>
      <w:bookmarkStart w:id="134" w:name="_Toc469918361"/>
      <w:r>
        <w:rPr>
          <w:rFonts w:hint="eastAsia" w:ascii="宋体" w:hAnsi="宋体" w:eastAsia="宋体" w:cs="宋体"/>
          <w:b w:val="0"/>
          <w:bCs/>
          <w:sz w:val="24"/>
          <w:szCs w:val="24"/>
        </w:rPr>
        <w:t xml:space="preserve">6.7 </w:t>
      </w:r>
      <w:r>
        <w:rPr>
          <w:rFonts w:hint="eastAsia" w:ascii="宋体" w:hAnsi="宋体" w:eastAsia="宋体" w:cs="宋体"/>
          <w:b w:val="0"/>
          <w:bCs/>
          <w:snapToGrid w:val="0"/>
          <w:color w:val="000000"/>
          <w:kern w:val="0"/>
          <w:sz w:val="24"/>
          <w:szCs w:val="24"/>
          <w:highlight w:val="none"/>
          <w:lang w:val="en-US" w:eastAsia="zh-CN" w:bidi="ar-SA"/>
        </w:rPr>
        <w:t>甲方对不履行安全生产责任、存在严重违章违规、重大安全隐患整改不力或拒不整改的，以及发生生产安全事故的外包单位，列入外包项目“黑名单”</w:t>
      </w:r>
      <w:bookmarkEnd w:id="129"/>
      <w:bookmarkEnd w:id="130"/>
      <w:bookmarkEnd w:id="131"/>
      <w:bookmarkStart w:id="135" w:name="_Toc485377651"/>
      <w:bookmarkStart w:id="136" w:name="_Toc486345095"/>
      <w:bookmarkStart w:id="137" w:name="_Toc484673968"/>
      <w:r>
        <w:rPr>
          <w:rFonts w:hint="eastAsia" w:ascii="宋体" w:hAnsi="宋体" w:eastAsia="宋体" w:cs="宋体"/>
          <w:b w:val="0"/>
          <w:bCs/>
          <w:snapToGrid w:val="0"/>
          <w:color w:val="000000"/>
          <w:kern w:val="0"/>
          <w:sz w:val="24"/>
          <w:szCs w:val="24"/>
          <w:highlight w:val="none"/>
          <w:lang w:val="en-US" w:eastAsia="zh-CN" w:bidi="ar-SA"/>
        </w:rPr>
        <w:t>，列入“黑名单”的单位将在承揽项目方面受到严格限制。</w:t>
      </w:r>
    </w:p>
    <w:p w14:paraId="72CE93BE">
      <w:pPr>
        <w:keepNext w:val="0"/>
        <w:keepLines w:val="0"/>
        <w:pageBreakBefore w:val="0"/>
        <w:widowControl w:val="0"/>
        <w:kinsoku/>
        <w:wordWrap/>
        <w:overflowPunct/>
        <w:topLinePunct w:val="0"/>
        <w:autoSpaceDE/>
        <w:autoSpaceDN/>
        <w:bidi w:val="0"/>
        <w:adjustRightInd w:val="0"/>
        <w:spacing w:line="360" w:lineRule="auto"/>
        <w:ind w:firstLine="480" w:firstLineChars="200"/>
        <w:textAlignment w:val="auto"/>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b w:val="0"/>
          <w:bCs/>
          <w:sz w:val="24"/>
          <w:szCs w:val="24"/>
        </w:rPr>
        <w:t>6.8</w:t>
      </w:r>
      <w:r>
        <w:rPr>
          <w:rFonts w:hint="eastAsia" w:ascii="宋体" w:hAnsi="宋体" w:eastAsia="宋体" w:cs="宋体"/>
          <w:b w:val="0"/>
          <w:bCs/>
          <w:snapToGrid w:val="0"/>
          <w:color w:val="000000"/>
          <w:kern w:val="0"/>
          <w:sz w:val="24"/>
          <w:szCs w:val="24"/>
          <w:highlight w:val="none"/>
          <w:lang w:val="en-US" w:eastAsia="zh-CN" w:bidi="ar-SA"/>
        </w:rPr>
        <w:t xml:space="preserve"> 外包工</w:t>
      </w:r>
      <w:r>
        <w:rPr>
          <w:rFonts w:hint="eastAsia" w:ascii="宋体" w:hAnsi="宋体" w:eastAsia="宋体" w:cs="宋体"/>
          <w:snapToGrid w:val="0"/>
          <w:color w:val="000000"/>
          <w:kern w:val="0"/>
          <w:sz w:val="24"/>
          <w:szCs w:val="24"/>
          <w:highlight w:val="none"/>
          <w:lang w:val="en-US" w:eastAsia="zh-CN" w:bidi="ar-SA"/>
        </w:rPr>
        <w:t>程的安全管理按照甲方安全生产管理制度执行。</w:t>
      </w:r>
    </w:p>
    <w:p w14:paraId="1EBF7F2E">
      <w:pPr>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7</w:t>
      </w:r>
      <w:r>
        <w:rPr>
          <w:rFonts w:hint="eastAsia" w:ascii="宋体" w:hAnsi="宋体" w:eastAsia="宋体" w:cs="宋体"/>
          <w:b/>
          <w:sz w:val="24"/>
          <w:szCs w:val="24"/>
          <w:lang w:val="en-US" w:eastAsia="zh-CN"/>
        </w:rPr>
        <w:t>.</w:t>
      </w:r>
      <w:r>
        <w:rPr>
          <w:rFonts w:hint="eastAsia" w:ascii="宋体" w:hAnsi="宋体" w:eastAsia="宋体" w:cs="宋体"/>
          <w:b/>
          <w:sz w:val="24"/>
          <w:szCs w:val="24"/>
        </w:rPr>
        <w:t>安全保证金：</w:t>
      </w:r>
    </w:p>
    <w:p w14:paraId="513FB221">
      <w:pPr>
        <w:keepNext w:val="0"/>
        <w:keepLines w:val="0"/>
        <w:pageBreakBefore w:val="0"/>
        <w:widowControl w:val="0"/>
        <w:kinsoku/>
        <w:wordWrap/>
        <w:overflowPunct/>
        <w:topLinePunct w:val="0"/>
        <w:autoSpaceDE/>
        <w:autoSpaceDN/>
        <w:bidi w:val="0"/>
        <w:adjustRightInd w:val="0"/>
        <w:spacing w:line="360" w:lineRule="auto"/>
        <w:ind w:firstLine="480" w:firstLineChars="200"/>
        <w:textAlignment w:val="auto"/>
        <w:rPr>
          <w:rFonts w:hint="eastAsia" w:ascii="宋体" w:hAnsi="宋体" w:eastAsia="宋体" w:cs="宋体"/>
          <w:b w:val="0"/>
          <w:bCs/>
          <w:snapToGrid w:val="0"/>
          <w:color w:val="000000"/>
          <w:kern w:val="0"/>
          <w:sz w:val="24"/>
          <w:szCs w:val="24"/>
          <w:highlight w:val="none"/>
          <w:lang w:val="en-US" w:eastAsia="zh-CN" w:bidi="ar-SA"/>
        </w:rPr>
      </w:pPr>
      <w:r>
        <w:rPr>
          <w:rFonts w:hint="eastAsia" w:ascii="宋体" w:hAnsi="宋体" w:eastAsia="宋体" w:cs="宋体"/>
          <w:b w:val="0"/>
          <w:bCs/>
          <w:sz w:val="24"/>
          <w:szCs w:val="24"/>
        </w:rPr>
        <w:t>7.1</w:t>
      </w:r>
      <w:r>
        <w:rPr>
          <w:rFonts w:hint="eastAsia" w:ascii="宋体" w:hAnsi="宋体" w:eastAsia="宋体" w:cs="宋体"/>
          <w:b w:val="0"/>
          <w:bCs/>
          <w:snapToGrid w:val="0"/>
          <w:color w:val="000000"/>
          <w:kern w:val="0"/>
          <w:sz w:val="24"/>
          <w:szCs w:val="24"/>
          <w:highlight w:val="none"/>
          <w:lang w:val="en-US" w:eastAsia="zh-CN" w:bidi="ar-SA"/>
        </w:rPr>
        <w:t xml:space="preserve"> 合同总价款的1％作为安全保证金。</w:t>
      </w:r>
    </w:p>
    <w:p w14:paraId="36B49622">
      <w:pPr>
        <w:keepNext w:val="0"/>
        <w:keepLines w:val="0"/>
        <w:pageBreakBefore w:val="0"/>
        <w:widowControl w:val="0"/>
        <w:kinsoku/>
        <w:wordWrap/>
        <w:overflowPunct/>
        <w:topLinePunct w:val="0"/>
        <w:autoSpaceDE/>
        <w:autoSpaceDN/>
        <w:bidi w:val="0"/>
        <w:adjustRightInd w:val="0"/>
        <w:spacing w:line="360" w:lineRule="auto"/>
        <w:ind w:firstLine="480" w:firstLineChars="200"/>
        <w:textAlignment w:val="auto"/>
        <w:rPr>
          <w:rFonts w:hint="eastAsia" w:ascii="宋体" w:hAnsi="宋体" w:eastAsia="宋体" w:cs="宋体"/>
          <w:b w:val="0"/>
          <w:bCs/>
          <w:snapToGrid w:val="0"/>
          <w:color w:val="000000"/>
          <w:kern w:val="0"/>
          <w:sz w:val="24"/>
          <w:szCs w:val="24"/>
          <w:highlight w:val="none"/>
          <w:lang w:val="en-US" w:eastAsia="zh-CN" w:bidi="ar-SA"/>
        </w:rPr>
      </w:pPr>
      <w:r>
        <w:rPr>
          <w:rFonts w:hint="eastAsia" w:ascii="宋体" w:hAnsi="宋体" w:eastAsia="宋体" w:cs="宋体"/>
          <w:b w:val="0"/>
          <w:bCs/>
          <w:sz w:val="24"/>
          <w:szCs w:val="24"/>
        </w:rPr>
        <w:t xml:space="preserve">7.2 </w:t>
      </w:r>
      <w:r>
        <w:rPr>
          <w:rFonts w:hint="eastAsia" w:ascii="宋体" w:hAnsi="宋体" w:eastAsia="宋体" w:cs="宋体"/>
          <w:b w:val="0"/>
          <w:bCs/>
          <w:snapToGrid w:val="0"/>
          <w:color w:val="000000"/>
          <w:kern w:val="0"/>
          <w:sz w:val="24"/>
          <w:szCs w:val="24"/>
          <w:highlight w:val="none"/>
          <w:lang w:val="en-US" w:eastAsia="zh-CN" w:bidi="ar-SA"/>
        </w:rPr>
        <w:t>乙方发生现场违章、异常、障碍、事故等不安全现象，按《靖远煤业集团刘化化工公司安全生产管理制度》相关条款扣除安全保证金。</w:t>
      </w:r>
    </w:p>
    <w:p w14:paraId="7B8D8072">
      <w:pPr>
        <w:keepNext w:val="0"/>
        <w:keepLines w:val="0"/>
        <w:pageBreakBefore w:val="0"/>
        <w:widowControl w:val="0"/>
        <w:kinsoku/>
        <w:wordWrap/>
        <w:overflowPunct/>
        <w:topLinePunct w:val="0"/>
        <w:autoSpaceDE/>
        <w:autoSpaceDN/>
        <w:bidi w:val="0"/>
        <w:adjustRightInd w:val="0"/>
        <w:spacing w:line="360" w:lineRule="auto"/>
        <w:ind w:firstLine="480" w:firstLineChars="200"/>
        <w:textAlignment w:val="auto"/>
        <w:rPr>
          <w:rFonts w:hint="eastAsia" w:ascii="宋体" w:hAnsi="宋体" w:eastAsia="宋体" w:cs="宋体"/>
          <w:b w:val="0"/>
          <w:bCs/>
          <w:snapToGrid w:val="0"/>
          <w:color w:val="000000"/>
          <w:kern w:val="0"/>
          <w:sz w:val="24"/>
          <w:szCs w:val="24"/>
          <w:highlight w:val="none"/>
          <w:lang w:val="en-US" w:eastAsia="zh-CN" w:bidi="ar-SA"/>
        </w:rPr>
      </w:pPr>
      <w:r>
        <w:rPr>
          <w:rFonts w:hint="eastAsia" w:ascii="宋体" w:hAnsi="宋体" w:eastAsia="宋体" w:cs="宋体"/>
          <w:b w:val="0"/>
          <w:bCs/>
          <w:sz w:val="24"/>
          <w:szCs w:val="24"/>
        </w:rPr>
        <w:t xml:space="preserve">7.3 </w:t>
      </w:r>
      <w:r>
        <w:rPr>
          <w:rFonts w:hint="eastAsia" w:ascii="宋体" w:hAnsi="宋体" w:eastAsia="宋体" w:cs="宋体"/>
          <w:b w:val="0"/>
          <w:bCs/>
          <w:snapToGrid w:val="0"/>
          <w:color w:val="000000"/>
          <w:kern w:val="0"/>
          <w:sz w:val="24"/>
          <w:szCs w:val="24"/>
          <w:highlight w:val="none"/>
          <w:lang w:val="en-US" w:eastAsia="zh-CN" w:bidi="ar-SA"/>
        </w:rPr>
        <w:t>当乙方人员责任发生人身轻伤和一般设备事故，扣除50%保证金。造成甲方设备二类障碍以上设备事故按照甲方安全奖惩规定考核，并赔偿事故损失。</w:t>
      </w:r>
    </w:p>
    <w:p w14:paraId="54D0AAE2">
      <w:pPr>
        <w:keepNext w:val="0"/>
        <w:keepLines w:val="0"/>
        <w:pageBreakBefore w:val="0"/>
        <w:widowControl w:val="0"/>
        <w:kinsoku/>
        <w:wordWrap/>
        <w:overflowPunct/>
        <w:topLinePunct w:val="0"/>
        <w:autoSpaceDE/>
        <w:autoSpaceDN/>
        <w:bidi w:val="0"/>
        <w:adjustRightInd w:val="0"/>
        <w:spacing w:line="360" w:lineRule="auto"/>
        <w:ind w:firstLine="480" w:firstLineChars="200"/>
        <w:textAlignment w:val="auto"/>
        <w:rPr>
          <w:rFonts w:hint="eastAsia" w:ascii="宋体" w:hAnsi="宋体" w:eastAsia="宋体" w:cs="宋体"/>
          <w:b w:val="0"/>
          <w:bCs/>
          <w:snapToGrid w:val="0"/>
          <w:color w:val="000000"/>
          <w:kern w:val="0"/>
          <w:sz w:val="24"/>
          <w:szCs w:val="24"/>
          <w:highlight w:val="none"/>
          <w:lang w:val="en-US" w:eastAsia="zh-CN" w:bidi="ar-SA"/>
        </w:rPr>
      </w:pPr>
      <w:r>
        <w:rPr>
          <w:rFonts w:hint="eastAsia" w:ascii="宋体" w:hAnsi="宋体" w:eastAsia="宋体" w:cs="宋体"/>
          <w:b w:val="0"/>
          <w:bCs/>
          <w:sz w:val="24"/>
          <w:szCs w:val="24"/>
        </w:rPr>
        <w:t xml:space="preserve">7.4 </w:t>
      </w:r>
      <w:r>
        <w:rPr>
          <w:rFonts w:hint="eastAsia" w:ascii="宋体" w:hAnsi="宋体" w:eastAsia="宋体" w:cs="宋体"/>
          <w:b w:val="0"/>
          <w:bCs/>
          <w:snapToGrid w:val="0"/>
          <w:color w:val="000000"/>
          <w:kern w:val="0"/>
          <w:sz w:val="24"/>
          <w:szCs w:val="24"/>
          <w:highlight w:val="none"/>
          <w:lang w:val="en-US" w:eastAsia="zh-CN" w:bidi="ar-SA"/>
        </w:rPr>
        <w:t>当乙方人员责任发生作业人员人身重伤及以上事故扣除全部安全保证金。由于乙方责任，造成甲方人员伤害事件，赔付甲方治疗费、误工费和补偿费等相关费用，必要时将进行司法追述。</w:t>
      </w:r>
    </w:p>
    <w:p w14:paraId="74D832F1">
      <w:pPr>
        <w:keepNext w:val="0"/>
        <w:keepLines w:val="0"/>
        <w:pageBreakBefore w:val="0"/>
        <w:widowControl w:val="0"/>
        <w:kinsoku/>
        <w:wordWrap/>
        <w:overflowPunct/>
        <w:topLinePunct w:val="0"/>
        <w:autoSpaceDE/>
        <w:autoSpaceDN/>
        <w:bidi w:val="0"/>
        <w:adjustRightInd w:val="0"/>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7.5</w:t>
      </w:r>
      <w:r>
        <w:rPr>
          <w:rFonts w:hint="eastAsia" w:ascii="宋体" w:hAnsi="宋体" w:eastAsia="宋体" w:cs="宋体"/>
          <w:b w:val="0"/>
          <w:bCs/>
          <w:snapToGrid w:val="0"/>
          <w:color w:val="000000"/>
          <w:kern w:val="0"/>
          <w:sz w:val="24"/>
          <w:szCs w:val="24"/>
          <w:highlight w:val="none"/>
          <w:lang w:val="en-US" w:eastAsia="zh-CN" w:bidi="ar-SA"/>
        </w:rPr>
        <w:t xml:space="preserve"> 如乙方安全扣款金额超出安全保证金数额，甲方资产财务部应从合同款中扣除。</w:t>
      </w:r>
    </w:p>
    <w:p w14:paraId="41F30778">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b w:val="0"/>
          <w:bCs/>
          <w:sz w:val="24"/>
          <w:szCs w:val="24"/>
        </w:rPr>
        <w:t>7.6</w:t>
      </w:r>
      <w:r>
        <w:rPr>
          <w:rFonts w:hint="eastAsia" w:ascii="宋体" w:hAnsi="宋体" w:eastAsia="宋体" w:cs="宋体"/>
          <w:b w:val="0"/>
          <w:bCs/>
          <w:sz w:val="24"/>
          <w:szCs w:val="24"/>
          <w:lang w:val="en-US" w:eastAsia="zh-CN"/>
        </w:rPr>
        <w:t xml:space="preserve"> </w:t>
      </w:r>
      <w:r>
        <w:rPr>
          <w:rFonts w:hint="eastAsia" w:ascii="宋体" w:hAnsi="宋体" w:eastAsia="宋体" w:cs="宋体"/>
          <w:b w:val="0"/>
          <w:bCs/>
          <w:snapToGrid w:val="0"/>
          <w:color w:val="000000"/>
          <w:kern w:val="0"/>
          <w:sz w:val="24"/>
          <w:szCs w:val="24"/>
          <w:highlight w:val="none"/>
          <w:lang w:val="en-US" w:eastAsia="zh-CN" w:bidi="ar-SA"/>
        </w:rPr>
        <w:t>甲</w:t>
      </w:r>
      <w:r>
        <w:rPr>
          <w:rFonts w:hint="eastAsia" w:ascii="宋体" w:hAnsi="宋体" w:eastAsia="宋体" w:cs="宋体"/>
          <w:snapToGrid w:val="0"/>
          <w:color w:val="000000"/>
          <w:kern w:val="0"/>
          <w:sz w:val="24"/>
          <w:szCs w:val="24"/>
          <w:highlight w:val="none"/>
          <w:lang w:val="en-US" w:eastAsia="zh-CN" w:bidi="ar-SA"/>
        </w:rPr>
        <w:t>方发包部门、安全环保监察部评定合同执行期内无事故、障碍及违章违纪等事件，符合结算安全保证金条件，甲方按规定结算外包单位剩余安全保证金。</w:t>
      </w:r>
    </w:p>
    <w:bookmarkEnd w:id="83"/>
    <w:bookmarkEnd w:id="84"/>
    <w:bookmarkEnd w:id="85"/>
    <w:bookmarkEnd w:id="86"/>
    <w:bookmarkEnd w:id="87"/>
    <w:bookmarkEnd w:id="101"/>
    <w:bookmarkEnd w:id="102"/>
    <w:bookmarkEnd w:id="132"/>
    <w:bookmarkEnd w:id="133"/>
    <w:bookmarkEnd w:id="134"/>
    <w:bookmarkEnd w:id="135"/>
    <w:bookmarkEnd w:id="136"/>
    <w:bookmarkEnd w:id="137"/>
    <w:p w14:paraId="215B58CA">
      <w:pPr>
        <w:keepNext w:val="0"/>
        <w:keepLines w:val="0"/>
        <w:pageBreakBefore w:val="0"/>
        <w:widowControl w:val="0"/>
        <w:kinsoku/>
        <w:wordWrap/>
        <w:overflowPunct/>
        <w:topLinePunct w:val="0"/>
        <w:autoSpaceDE/>
        <w:autoSpaceDN/>
        <w:bidi w:val="0"/>
        <w:adjustRightInd w:val="0"/>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8</w:t>
      </w:r>
      <w:r>
        <w:rPr>
          <w:rFonts w:hint="eastAsia" w:ascii="宋体" w:hAnsi="宋体" w:eastAsia="宋体" w:cs="宋体"/>
          <w:b/>
          <w:sz w:val="24"/>
          <w:szCs w:val="24"/>
          <w:lang w:eastAsia="zh-CN"/>
        </w:rPr>
        <w:t>.</w:t>
      </w:r>
      <w:r>
        <w:rPr>
          <w:rFonts w:hint="eastAsia" w:ascii="宋体" w:hAnsi="宋体" w:eastAsia="宋体" w:cs="宋体"/>
          <w:b/>
          <w:sz w:val="24"/>
          <w:szCs w:val="24"/>
        </w:rPr>
        <w:t>附则</w:t>
      </w:r>
    </w:p>
    <w:p w14:paraId="2E50B03C">
      <w:pPr>
        <w:keepNext w:val="0"/>
        <w:keepLines w:val="0"/>
        <w:pageBreakBefore w:val="0"/>
        <w:widowControl w:val="0"/>
        <w:kinsoku/>
        <w:wordWrap/>
        <w:overflowPunct/>
        <w:topLinePunct w:val="0"/>
        <w:autoSpaceDE/>
        <w:autoSpaceDN/>
        <w:bidi w:val="0"/>
        <w:adjustRightInd w:val="0"/>
        <w:spacing w:line="360" w:lineRule="auto"/>
        <w:ind w:firstLine="480" w:firstLineChars="200"/>
        <w:textAlignment w:val="auto"/>
        <w:rPr>
          <w:rFonts w:hint="eastAsia" w:ascii="宋体" w:hAnsi="宋体" w:eastAsia="宋体" w:cs="宋体"/>
          <w:b w:val="0"/>
          <w:bCs/>
          <w:snapToGrid w:val="0"/>
          <w:color w:val="000000"/>
          <w:kern w:val="0"/>
          <w:sz w:val="24"/>
          <w:szCs w:val="24"/>
          <w:highlight w:val="none"/>
          <w:lang w:val="en-US" w:eastAsia="zh-CN" w:bidi="ar-SA"/>
        </w:rPr>
      </w:pPr>
      <w:r>
        <w:rPr>
          <w:rFonts w:hint="eastAsia" w:ascii="宋体" w:hAnsi="宋体" w:eastAsia="宋体" w:cs="宋体"/>
          <w:b w:val="0"/>
          <w:bCs/>
          <w:snapToGrid w:val="0"/>
          <w:color w:val="000000"/>
          <w:kern w:val="0"/>
          <w:sz w:val="24"/>
          <w:szCs w:val="24"/>
          <w:highlight w:val="none"/>
          <w:lang w:val="en-US" w:eastAsia="zh-CN" w:bidi="ar-SA"/>
        </w:rPr>
        <w:t>8.1 本协议约定的各项条款，经双方签字、盖章后生效。本协议作为合同附件，是对合同内容的补充，与合同具有同等法律效力，</w:t>
      </w:r>
    </w:p>
    <w:p w14:paraId="5B0AAAC1">
      <w:pPr>
        <w:keepNext w:val="0"/>
        <w:keepLines w:val="0"/>
        <w:pageBreakBefore w:val="0"/>
        <w:widowControl w:val="0"/>
        <w:kinsoku/>
        <w:wordWrap/>
        <w:overflowPunct/>
        <w:topLinePunct w:val="0"/>
        <w:autoSpaceDE/>
        <w:autoSpaceDN/>
        <w:bidi w:val="0"/>
        <w:adjustRightInd w:val="0"/>
        <w:spacing w:line="360" w:lineRule="auto"/>
        <w:ind w:firstLine="480" w:firstLineChars="200"/>
        <w:textAlignment w:val="auto"/>
        <w:rPr>
          <w:rFonts w:hint="eastAsia" w:ascii="宋体" w:hAnsi="宋体" w:eastAsia="宋体" w:cs="宋体"/>
          <w:b w:val="0"/>
          <w:bCs/>
          <w:snapToGrid w:val="0"/>
          <w:color w:val="000000"/>
          <w:kern w:val="0"/>
          <w:sz w:val="24"/>
          <w:szCs w:val="24"/>
          <w:highlight w:val="none"/>
          <w:lang w:val="en-US" w:eastAsia="zh-CN" w:bidi="ar-SA"/>
        </w:rPr>
      </w:pPr>
      <w:r>
        <w:rPr>
          <w:rFonts w:hint="eastAsia" w:ascii="宋体" w:hAnsi="宋体" w:eastAsia="宋体" w:cs="宋体"/>
          <w:b w:val="0"/>
          <w:bCs/>
          <w:snapToGrid w:val="0"/>
          <w:color w:val="000000"/>
          <w:kern w:val="0"/>
          <w:sz w:val="24"/>
          <w:szCs w:val="24"/>
          <w:highlight w:val="none"/>
          <w:lang w:val="en-US" w:eastAsia="zh-CN" w:bidi="ar-SA"/>
        </w:rPr>
        <w:t>8.2 本协议有效期至合同结束为止，但最长为期一年，逾期双方应重新履行协议签订手续。</w:t>
      </w:r>
    </w:p>
    <w:p w14:paraId="6FDC8853">
      <w:pPr>
        <w:keepNext w:val="0"/>
        <w:keepLines w:val="0"/>
        <w:pageBreakBefore w:val="0"/>
        <w:widowControl w:val="0"/>
        <w:kinsoku/>
        <w:wordWrap/>
        <w:overflowPunct/>
        <w:topLinePunct w:val="0"/>
        <w:autoSpaceDE/>
        <w:autoSpaceDN/>
        <w:bidi w:val="0"/>
        <w:adjustRightInd w:val="0"/>
        <w:spacing w:line="360" w:lineRule="auto"/>
        <w:ind w:firstLine="480" w:firstLineChars="200"/>
        <w:textAlignment w:val="auto"/>
        <w:rPr>
          <w:rFonts w:hint="eastAsia" w:ascii="宋体" w:hAnsi="宋体" w:eastAsia="宋体" w:cs="宋体"/>
          <w:b w:val="0"/>
          <w:bCs/>
          <w:snapToGrid w:val="0"/>
          <w:color w:val="000000"/>
          <w:kern w:val="0"/>
          <w:sz w:val="24"/>
          <w:szCs w:val="24"/>
          <w:highlight w:val="none"/>
          <w:lang w:val="en-US" w:eastAsia="zh-CN" w:bidi="ar-SA"/>
        </w:rPr>
      </w:pPr>
      <w:r>
        <w:rPr>
          <w:rFonts w:hint="eastAsia" w:ascii="宋体" w:hAnsi="宋体" w:eastAsia="宋体" w:cs="宋体"/>
          <w:b w:val="0"/>
          <w:bCs/>
          <w:snapToGrid w:val="0"/>
          <w:color w:val="000000"/>
          <w:kern w:val="0"/>
          <w:sz w:val="24"/>
          <w:szCs w:val="24"/>
          <w:highlight w:val="none"/>
          <w:lang w:val="en-US" w:eastAsia="zh-CN" w:bidi="ar-SA"/>
        </w:rPr>
        <w:t>8.3 其他未尽事宜以国家和行业规定为准，国家和行业没有规定的以甲方最新制度标准为准。</w:t>
      </w:r>
    </w:p>
    <w:p w14:paraId="08D2508D">
      <w:pPr>
        <w:pStyle w:val="5"/>
        <w:keepNext w:val="0"/>
        <w:keepLines w:val="0"/>
        <w:pageBreakBefore w:val="0"/>
        <w:widowControl w:val="0"/>
        <w:kinsoku/>
        <w:wordWrap/>
        <w:overflowPunct/>
        <w:topLinePunct w:val="0"/>
        <w:autoSpaceDE/>
        <w:autoSpaceDN/>
        <w:bidi w:val="0"/>
        <w:adjustRightInd/>
        <w:snapToGrid w:val="0"/>
        <w:spacing w:line="360" w:lineRule="auto"/>
        <w:ind w:left="420" w:hanging="480" w:hangingChars="200"/>
        <w:jc w:val="left"/>
        <w:textAlignment w:val="auto"/>
        <w:rPr>
          <w:rFonts w:hint="eastAsia" w:ascii="宋体" w:hAnsi="宋体" w:eastAsia="宋体" w:cs="宋体"/>
          <w:snapToGrid w:val="0"/>
          <w:color w:val="000000"/>
          <w:kern w:val="0"/>
          <w:sz w:val="24"/>
          <w:szCs w:val="24"/>
          <w:highlight w:val="none"/>
          <w:lang w:val="en-US" w:eastAsia="zh-CN" w:bidi="ar-SA"/>
        </w:rPr>
      </w:pPr>
    </w:p>
    <w:p w14:paraId="1CC23A1F">
      <w:pPr>
        <w:pStyle w:val="5"/>
        <w:keepNext w:val="0"/>
        <w:keepLines w:val="0"/>
        <w:pageBreakBefore w:val="0"/>
        <w:widowControl w:val="0"/>
        <w:kinsoku/>
        <w:wordWrap/>
        <w:overflowPunct/>
        <w:topLinePunct w:val="0"/>
        <w:autoSpaceDE/>
        <w:autoSpaceDN/>
        <w:bidi w:val="0"/>
        <w:adjustRightInd/>
        <w:snapToGrid w:val="0"/>
        <w:spacing w:line="360" w:lineRule="auto"/>
        <w:ind w:left="420" w:hanging="480" w:hangingChars="200"/>
        <w:jc w:val="left"/>
        <w:textAlignment w:val="auto"/>
        <w:rPr>
          <w:rFonts w:hint="eastAsia" w:ascii="宋体" w:hAnsi="宋体" w:eastAsia="宋体" w:cs="宋体"/>
          <w:snapToGrid w:val="0"/>
          <w:color w:val="000000"/>
          <w:kern w:val="0"/>
          <w:sz w:val="24"/>
          <w:szCs w:val="24"/>
          <w:highlight w:val="none"/>
          <w:lang w:val="en-US" w:eastAsia="zh-CN" w:bidi="ar-SA"/>
        </w:rPr>
      </w:pPr>
    </w:p>
    <w:p w14:paraId="03E98DF0">
      <w:pPr>
        <w:pStyle w:val="5"/>
        <w:keepNext w:val="0"/>
        <w:keepLines w:val="0"/>
        <w:pageBreakBefore w:val="0"/>
        <w:widowControl w:val="0"/>
        <w:kinsoku/>
        <w:wordWrap/>
        <w:overflowPunct/>
        <w:topLinePunct w:val="0"/>
        <w:autoSpaceDE/>
        <w:autoSpaceDN/>
        <w:bidi w:val="0"/>
        <w:adjustRightInd/>
        <w:snapToGrid w:val="0"/>
        <w:spacing w:line="360" w:lineRule="auto"/>
        <w:ind w:left="420" w:hanging="480" w:hangingChars="200"/>
        <w:jc w:val="left"/>
        <w:textAlignment w:val="auto"/>
        <w:rPr>
          <w:rFonts w:hint="eastAsia" w:ascii="宋体" w:hAnsi="宋体" w:eastAsia="宋体" w:cs="宋体"/>
          <w:snapToGrid w:val="0"/>
          <w:color w:val="000000"/>
          <w:kern w:val="0"/>
          <w:sz w:val="24"/>
          <w:szCs w:val="24"/>
          <w:highlight w:val="none"/>
          <w:lang w:val="en-US" w:eastAsia="zh-CN" w:bidi="ar-SA"/>
        </w:rPr>
      </w:pPr>
    </w:p>
    <w:p w14:paraId="3BD894C8">
      <w:pPr>
        <w:pStyle w:val="5"/>
        <w:keepNext w:val="0"/>
        <w:keepLines w:val="0"/>
        <w:pageBreakBefore w:val="0"/>
        <w:widowControl w:val="0"/>
        <w:kinsoku/>
        <w:wordWrap/>
        <w:overflowPunct/>
        <w:topLinePunct w:val="0"/>
        <w:autoSpaceDE/>
        <w:autoSpaceDN/>
        <w:bidi w:val="0"/>
        <w:adjustRightInd/>
        <w:snapToGrid w:val="0"/>
        <w:spacing w:line="360" w:lineRule="auto"/>
        <w:ind w:left="420" w:hanging="480" w:hangingChars="200"/>
        <w:jc w:val="left"/>
        <w:textAlignment w:val="auto"/>
        <w:rPr>
          <w:rFonts w:hint="eastAsia" w:ascii="宋体" w:hAnsi="宋体" w:eastAsia="宋体" w:cs="宋体"/>
          <w:snapToGrid w:val="0"/>
          <w:color w:val="000000"/>
          <w:kern w:val="0"/>
          <w:sz w:val="24"/>
          <w:szCs w:val="24"/>
          <w:highlight w:val="none"/>
          <w:lang w:val="en-US" w:eastAsia="zh-CN" w:bidi="ar-SA"/>
        </w:rPr>
      </w:pPr>
    </w:p>
    <w:p w14:paraId="059947AE">
      <w:pPr>
        <w:pStyle w:val="5"/>
        <w:keepNext w:val="0"/>
        <w:keepLines w:val="0"/>
        <w:pageBreakBefore w:val="0"/>
        <w:widowControl w:val="0"/>
        <w:kinsoku/>
        <w:wordWrap/>
        <w:overflowPunct/>
        <w:topLinePunct w:val="0"/>
        <w:autoSpaceDE/>
        <w:autoSpaceDN/>
        <w:bidi w:val="0"/>
        <w:adjustRightInd/>
        <w:snapToGrid w:val="0"/>
        <w:spacing w:line="360" w:lineRule="auto"/>
        <w:ind w:left="420" w:hanging="480" w:hangingChars="200"/>
        <w:jc w:val="left"/>
        <w:textAlignment w:val="auto"/>
        <w:rPr>
          <w:rFonts w:hint="eastAsia" w:ascii="宋体" w:hAnsi="宋体" w:eastAsia="宋体" w:cs="宋体"/>
          <w:snapToGrid w:val="0"/>
          <w:color w:val="000000"/>
          <w:kern w:val="0"/>
          <w:sz w:val="24"/>
          <w:szCs w:val="24"/>
          <w:highlight w:val="none"/>
          <w:lang w:val="en-US" w:eastAsia="zh-CN" w:bidi="ar-SA"/>
        </w:rPr>
      </w:pPr>
    </w:p>
    <w:p w14:paraId="44E86BDC">
      <w:pPr>
        <w:pStyle w:val="5"/>
        <w:keepNext w:val="0"/>
        <w:keepLines w:val="0"/>
        <w:pageBreakBefore w:val="0"/>
        <w:widowControl w:val="0"/>
        <w:kinsoku/>
        <w:wordWrap/>
        <w:overflowPunct/>
        <w:topLinePunct w:val="0"/>
        <w:autoSpaceDE/>
        <w:autoSpaceDN/>
        <w:bidi w:val="0"/>
        <w:adjustRightInd/>
        <w:snapToGrid w:val="0"/>
        <w:spacing w:line="360" w:lineRule="auto"/>
        <w:ind w:left="420" w:hanging="480" w:hangingChars="200"/>
        <w:jc w:val="left"/>
        <w:textAlignment w:val="auto"/>
        <w:rPr>
          <w:rFonts w:hint="eastAsia" w:ascii="宋体" w:hAnsi="宋体" w:eastAsia="宋体" w:cs="宋体"/>
          <w:snapToGrid w:val="0"/>
          <w:color w:val="000000"/>
          <w:kern w:val="0"/>
          <w:sz w:val="24"/>
          <w:szCs w:val="24"/>
          <w:highlight w:val="none"/>
          <w:lang w:val="en-US" w:eastAsia="zh-CN" w:bidi="ar-SA"/>
        </w:rPr>
      </w:pPr>
    </w:p>
    <w:p w14:paraId="526559DC">
      <w:pPr>
        <w:pStyle w:val="5"/>
        <w:keepNext w:val="0"/>
        <w:keepLines w:val="0"/>
        <w:pageBreakBefore w:val="0"/>
        <w:widowControl w:val="0"/>
        <w:kinsoku/>
        <w:wordWrap/>
        <w:overflowPunct/>
        <w:topLinePunct w:val="0"/>
        <w:autoSpaceDE/>
        <w:autoSpaceDN/>
        <w:bidi w:val="0"/>
        <w:adjustRightInd/>
        <w:snapToGrid w:val="0"/>
        <w:spacing w:line="360" w:lineRule="auto"/>
        <w:ind w:left="420" w:hanging="480" w:hangingChars="200"/>
        <w:jc w:val="left"/>
        <w:textAlignment w:val="auto"/>
        <w:rPr>
          <w:rFonts w:hint="eastAsia" w:ascii="宋体" w:hAnsi="宋体" w:eastAsia="宋体" w:cs="宋体"/>
          <w:snapToGrid w:val="0"/>
          <w:color w:val="000000"/>
          <w:kern w:val="0"/>
          <w:sz w:val="24"/>
          <w:szCs w:val="24"/>
          <w:highlight w:val="none"/>
          <w:lang w:val="en-US" w:eastAsia="zh-CN" w:bidi="ar-SA"/>
        </w:rPr>
      </w:pPr>
    </w:p>
    <w:p w14:paraId="3C01BFFB">
      <w:pPr>
        <w:pStyle w:val="5"/>
        <w:keepNext w:val="0"/>
        <w:keepLines w:val="0"/>
        <w:pageBreakBefore w:val="0"/>
        <w:widowControl w:val="0"/>
        <w:kinsoku/>
        <w:wordWrap/>
        <w:overflowPunct/>
        <w:topLinePunct w:val="0"/>
        <w:autoSpaceDE/>
        <w:autoSpaceDN/>
        <w:bidi w:val="0"/>
        <w:adjustRightInd/>
        <w:snapToGrid w:val="0"/>
        <w:spacing w:line="360" w:lineRule="auto"/>
        <w:ind w:left="420" w:hanging="480" w:hangingChars="200"/>
        <w:jc w:val="left"/>
        <w:textAlignment w:val="auto"/>
        <w:rPr>
          <w:rFonts w:hint="eastAsia" w:ascii="宋体" w:hAnsi="宋体" w:eastAsia="宋体" w:cs="宋体"/>
          <w:snapToGrid w:val="0"/>
          <w:color w:val="000000"/>
          <w:kern w:val="0"/>
          <w:sz w:val="24"/>
          <w:szCs w:val="24"/>
          <w:highlight w:val="none"/>
          <w:lang w:val="en-US" w:eastAsia="zh-CN" w:bidi="ar-SA"/>
        </w:rPr>
      </w:pPr>
    </w:p>
    <w:p w14:paraId="72D96714">
      <w:pPr>
        <w:pStyle w:val="5"/>
        <w:keepNext w:val="0"/>
        <w:keepLines w:val="0"/>
        <w:pageBreakBefore w:val="0"/>
        <w:widowControl w:val="0"/>
        <w:kinsoku/>
        <w:wordWrap/>
        <w:overflowPunct/>
        <w:topLinePunct w:val="0"/>
        <w:autoSpaceDE/>
        <w:autoSpaceDN/>
        <w:bidi w:val="0"/>
        <w:adjustRightInd/>
        <w:snapToGrid w:val="0"/>
        <w:spacing w:line="360" w:lineRule="auto"/>
        <w:ind w:left="420" w:hanging="480" w:hangingChars="200"/>
        <w:jc w:val="left"/>
        <w:textAlignment w:val="auto"/>
        <w:rPr>
          <w:rFonts w:hint="eastAsia" w:ascii="宋体" w:hAnsi="宋体" w:eastAsia="宋体" w:cs="宋体"/>
          <w:snapToGrid w:val="0"/>
          <w:color w:val="000000"/>
          <w:kern w:val="0"/>
          <w:sz w:val="24"/>
          <w:szCs w:val="24"/>
          <w:highlight w:val="none"/>
          <w:lang w:val="en-US" w:eastAsia="zh-CN" w:bidi="ar-SA"/>
        </w:rPr>
      </w:pPr>
    </w:p>
    <w:p w14:paraId="637ACDCE">
      <w:pPr>
        <w:pStyle w:val="5"/>
        <w:keepNext w:val="0"/>
        <w:keepLines w:val="0"/>
        <w:pageBreakBefore w:val="0"/>
        <w:widowControl w:val="0"/>
        <w:kinsoku/>
        <w:wordWrap/>
        <w:overflowPunct/>
        <w:topLinePunct w:val="0"/>
        <w:autoSpaceDE/>
        <w:autoSpaceDN/>
        <w:bidi w:val="0"/>
        <w:adjustRightInd/>
        <w:snapToGrid w:val="0"/>
        <w:spacing w:line="360" w:lineRule="auto"/>
        <w:ind w:left="420" w:hanging="480" w:hangingChars="200"/>
        <w:jc w:val="left"/>
        <w:textAlignment w:val="auto"/>
        <w:rPr>
          <w:rFonts w:hint="eastAsia" w:ascii="宋体" w:hAnsi="宋体" w:eastAsia="宋体" w:cs="宋体"/>
          <w:snapToGrid w:val="0"/>
          <w:color w:val="000000"/>
          <w:kern w:val="0"/>
          <w:sz w:val="24"/>
          <w:szCs w:val="24"/>
          <w:highlight w:val="none"/>
          <w:lang w:val="en-US" w:eastAsia="zh-CN" w:bidi="ar-SA"/>
        </w:rPr>
      </w:pPr>
    </w:p>
    <w:p w14:paraId="30097C84">
      <w:pPr>
        <w:pStyle w:val="5"/>
        <w:keepNext w:val="0"/>
        <w:keepLines w:val="0"/>
        <w:pageBreakBefore w:val="0"/>
        <w:widowControl w:val="0"/>
        <w:kinsoku/>
        <w:wordWrap/>
        <w:overflowPunct/>
        <w:topLinePunct w:val="0"/>
        <w:autoSpaceDE/>
        <w:autoSpaceDN/>
        <w:bidi w:val="0"/>
        <w:adjustRightInd/>
        <w:snapToGrid w:val="0"/>
        <w:spacing w:line="360" w:lineRule="auto"/>
        <w:ind w:left="420" w:hanging="480" w:hangingChars="200"/>
        <w:jc w:val="left"/>
        <w:textAlignment w:val="auto"/>
        <w:rPr>
          <w:rFonts w:hint="eastAsia" w:ascii="宋体" w:hAnsi="宋体" w:eastAsia="宋体" w:cs="宋体"/>
          <w:snapToGrid w:val="0"/>
          <w:color w:val="000000"/>
          <w:kern w:val="0"/>
          <w:sz w:val="24"/>
          <w:szCs w:val="24"/>
          <w:highlight w:val="none"/>
          <w:lang w:val="en-US" w:eastAsia="zh-CN" w:bidi="ar-SA"/>
        </w:rPr>
      </w:pPr>
    </w:p>
    <w:p w14:paraId="0AF6B77E">
      <w:pPr>
        <w:pStyle w:val="5"/>
        <w:keepNext w:val="0"/>
        <w:keepLines w:val="0"/>
        <w:pageBreakBefore w:val="0"/>
        <w:widowControl w:val="0"/>
        <w:kinsoku/>
        <w:wordWrap/>
        <w:overflowPunct/>
        <w:topLinePunct w:val="0"/>
        <w:autoSpaceDE/>
        <w:autoSpaceDN/>
        <w:bidi w:val="0"/>
        <w:adjustRightInd/>
        <w:snapToGrid w:val="0"/>
        <w:spacing w:line="360" w:lineRule="auto"/>
        <w:ind w:left="420" w:hanging="480" w:hangingChars="200"/>
        <w:jc w:val="left"/>
        <w:textAlignment w:val="auto"/>
        <w:rPr>
          <w:rFonts w:hint="eastAsia" w:ascii="宋体" w:hAnsi="宋体" w:eastAsia="宋体" w:cs="宋体"/>
          <w:snapToGrid w:val="0"/>
          <w:color w:val="000000"/>
          <w:kern w:val="0"/>
          <w:sz w:val="24"/>
          <w:szCs w:val="24"/>
          <w:highlight w:val="none"/>
          <w:lang w:val="en-US" w:eastAsia="zh-CN" w:bidi="ar-SA"/>
        </w:rPr>
      </w:pPr>
    </w:p>
    <w:p w14:paraId="10719BB6">
      <w:pPr>
        <w:pStyle w:val="5"/>
        <w:keepNext w:val="0"/>
        <w:keepLines w:val="0"/>
        <w:pageBreakBefore w:val="0"/>
        <w:widowControl w:val="0"/>
        <w:kinsoku/>
        <w:wordWrap/>
        <w:overflowPunct/>
        <w:topLinePunct w:val="0"/>
        <w:autoSpaceDE/>
        <w:autoSpaceDN/>
        <w:bidi w:val="0"/>
        <w:adjustRightInd/>
        <w:snapToGrid w:val="0"/>
        <w:spacing w:line="360" w:lineRule="auto"/>
        <w:ind w:left="420" w:hanging="480" w:hangingChars="200"/>
        <w:jc w:val="left"/>
        <w:textAlignment w:val="auto"/>
        <w:rPr>
          <w:rFonts w:hint="eastAsia" w:ascii="宋体" w:hAnsi="宋体" w:eastAsia="宋体" w:cs="宋体"/>
          <w:snapToGrid w:val="0"/>
          <w:color w:val="000000"/>
          <w:kern w:val="0"/>
          <w:sz w:val="24"/>
          <w:szCs w:val="24"/>
          <w:highlight w:val="none"/>
          <w:lang w:val="en-US" w:eastAsia="zh-CN" w:bidi="ar-SA"/>
        </w:rPr>
      </w:pPr>
    </w:p>
    <w:p w14:paraId="344844B8">
      <w:pPr>
        <w:pStyle w:val="5"/>
        <w:keepNext w:val="0"/>
        <w:keepLines w:val="0"/>
        <w:pageBreakBefore w:val="0"/>
        <w:widowControl w:val="0"/>
        <w:kinsoku/>
        <w:wordWrap/>
        <w:overflowPunct/>
        <w:topLinePunct w:val="0"/>
        <w:autoSpaceDE/>
        <w:autoSpaceDN/>
        <w:bidi w:val="0"/>
        <w:adjustRightInd/>
        <w:snapToGrid w:val="0"/>
        <w:spacing w:line="360" w:lineRule="auto"/>
        <w:ind w:left="420" w:hanging="480" w:hangingChars="200"/>
        <w:jc w:val="left"/>
        <w:textAlignment w:val="auto"/>
        <w:rPr>
          <w:rFonts w:hint="eastAsia" w:ascii="宋体" w:hAnsi="宋体" w:eastAsia="宋体" w:cs="宋体"/>
          <w:snapToGrid w:val="0"/>
          <w:color w:val="000000"/>
          <w:kern w:val="0"/>
          <w:sz w:val="24"/>
          <w:szCs w:val="24"/>
          <w:highlight w:val="none"/>
          <w:lang w:val="en-US" w:eastAsia="zh-CN" w:bidi="ar-SA"/>
        </w:rPr>
      </w:pPr>
    </w:p>
    <w:p w14:paraId="288504E9">
      <w:pPr>
        <w:pStyle w:val="5"/>
        <w:keepNext w:val="0"/>
        <w:keepLines w:val="0"/>
        <w:pageBreakBefore w:val="0"/>
        <w:widowControl w:val="0"/>
        <w:kinsoku/>
        <w:wordWrap/>
        <w:overflowPunct/>
        <w:topLinePunct w:val="0"/>
        <w:autoSpaceDE/>
        <w:autoSpaceDN/>
        <w:bidi w:val="0"/>
        <w:adjustRightInd/>
        <w:snapToGrid w:val="0"/>
        <w:spacing w:line="360" w:lineRule="auto"/>
        <w:ind w:left="420" w:hanging="480" w:hangingChars="200"/>
        <w:jc w:val="left"/>
        <w:textAlignment w:val="auto"/>
        <w:rPr>
          <w:rFonts w:hint="eastAsia" w:ascii="宋体" w:hAnsi="宋体" w:eastAsia="宋体" w:cs="宋体"/>
          <w:snapToGrid w:val="0"/>
          <w:color w:val="000000"/>
          <w:kern w:val="0"/>
          <w:sz w:val="24"/>
          <w:szCs w:val="24"/>
          <w:highlight w:val="none"/>
          <w:lang w:val="en-US" w:eastAsia="zh-CN" w:bidi="ar-SA"/>
        </w:rPr>
      </w:pPr>
    </w:p>
    <w:p w14:paraId="4ADC1E2E">
      <w:pPr>
        <w:pStyle w:val="5"/>
        <w:keepNext w:val="0"/>
        <w:keepLines w:val="0"/>
        <w:pageBreakBefore w:val="0"/>
        <w:widowControl w:val="0"/>
        <w:kinsoku/>
        <w:wordWrap/>
        <w:overflowPunct/>
        <w:topLinePunct w:val="0"/>
        <w:autoSpaceDE/>
        <w:autoSpaceDN/>
        <w:bidi w:val="0"/>
        <w:adjustRightInd/>
        <w:snapToGrid w:val="0"/>
        <w:spacing w:line="360" w:lineRule="auto"/>
        <w:ind w:left="420" w:hanging="480" w:hangingChars="200"/>
        <w:jc w:val="left"/>
        <w:textAlignment w:val="auto"/>
        <w:rPr>
          <w:rFonts w:hint="eastAsia" w:ascii="宋体" w:hAnsi="宋体" w:eastAsia="宋体" w:cs="宋体"/>
          <w:snapToGrid w:val="0"/>
          <w:color w:val="000000"/>
          <w:kern w:val="0"/>
          <w:sz w:val="24"/>
          <w:szCs w:val="24"/>
          <w:highlight w:val="none"/>
          <w:lang w:val="en-US" w:eastAsia="zh-CN" w:bidi="ar-SA"/>
        </w:rPr>
      </w:pPr>
    </w:p>
    <w:p w14:paraId="1249917C">
      <w:pPr>
        <w:pStyle w:val="5"/>
        <w:keepNext w:val="0"/>
        <w:keepLines w:val="0"/>
        <w:pageBreakBefore w:val="0"/>
        <w:widowControl w:val="0"/>
        <w:kinsoku/>
        <w:wordWrap/>
        <w:overflowPunct/>
        <w:topLinePunct w:val="0"/>
        <w:autoSpaceDE/>
        <w:autoSpaceDN/>
        <w:bidi w:val="0"/>
        <w:adjustRightInd/>
        <w:snapToGrid w:val="0"/>
        <w:spacing w:line="360" w:lineRule="auto"/>
        <w:ind w:left="0" w:firstLine="0" w:firstLineChars="0"/>
        <w:jc w:val="left"/>
        <w:textAlignment w:val="auto"/>
        <w:rPr>
          <w:rFonts w:hint="eastAsia" w:ascii="宋体" w:hAnsi="宋体" w:eastAsia="宋体" w:cs="宋体"/>
          <w:snapToGrid w:val="0"/>
          <w:color w:val="000000"/>
          <w:kern w:val="0"/>
          <w:sz w:val="24"/>
          <w:szCs w:val="24"/>
          <w:highlight w:val="none"/>
          <w:lang w:val="en-US" w:eastAsia="zh-CN" w:bidi="ar-SA"/>
        </w:rPr>
      </w:pPr>
    </w:p>
    <w:p w14:paraId="5C29D1C9">
      <w:pPr>
        <w:spacing w:line="360" w:lineRule="auto"/>
        <w:rPr>
          <w:rFonts w:hint="eastAsia" w:ascii="宋体" w:hAnsi="宋体" w:eastAsia="宋体" w:cs="宋体"/>
          <w:snapToGrid w:val="0"/>
          <w:color w:val="000000"/>
          <w:kern w:val="0"/>
          <w:sz w:val="24"/>
          <w:szCs w:val="24"/>
          <w:highlight w:val="none"/>
          <w:lang w:val="en-US" w:eastAsia="zh-CN" w:bidi="ar-SA"/>
        </w:rPr>
      </w:pPr>
    </w:p>
    <w:p w14:paraId="57B3001A">
      <w:pPr>
        <w:spacing w:line="360" w:lineRule="auto"/>
        <w:rPr>
          <w:rFonts w:hint="eastAsia" w:ascii="宋体" w:hAnsi="宋体" w:eastAsia="宋体" w:cs="宋体"/>
          <w:snapToGrid w:val="0"/>
          <w:color w:val="000000"/>
          <w:kern w:val="0"/>
          <w:sz w:val="24"/>
          <w:szCs w:val="24"/>
          <w:highlight w:val="none"/>
          <w:lang w:val="en-US" w:eastAsia="zh-CN" w:bidi="ar-SA"/>
        </w:rPr>
      </w:pPr>
    </w:p>
    <w:p w14:paraId="7A8675E6">
      <w:pPr>
        <w:spacing w:line="360" w:lineRule="auto"/>
        <w:rPr>
          <w:rFonts w:hint="eastAsia" w:ascii="宋体" w:hAnsi="宋体" w:eastAsia="宋体" w:cs="宋体"/>
          <w:snapToGrid w:val="0"/>
          <w:color w:val="000000"/>
          <w:kern w:val="0"/>
          <w:sz w:val="24"/>
          <w:szCs w:val="24"/>
          <w:highlight w:val="none"/>
          <w:lang w:val="en-US" w:eastAsia="zh-CN" w:bidi="ar-SA"/>
        </w:rPr>
      </w:pPr>
    </w:p>
    <w:p w14:paraId="49C38DB2">
      <w:pPr>
        <w:spacing w:line="360" w:lineRule="auto"/>
        <w:rPr>
          <w:rFonts w:hint="eastAsia" w:ascii="宋体" w:hAnsi="宋体" w:eastAsia="宋体" w:cs="宋体"/>
          <w:snapToGrid w:val="0"/>
          <w:color w:val="000000"/>
          <w:kern w:val="0"/>
          <w:sz w:val="24"/>
          <w:szCs w:val="24"/>
          <w:highlight w:val="none"/>
          <w:lang w:val="en-US" w:eastAsia="zh-CN" w:bidi="ar-SA"/>
        </w:rPr>
      </w:pPr>
    </w:p>
    <w:p w14:paraId="14E0C84E">
      <w:pPr>
        <w:spacing w:line="360" w:lineRule="auto"/>
        <w:rPr>
          <w:rFonts w:hint="eastAsia" w:ascii="宋体" w:hAnsi="宋体" w:eastAsia="宋体" w:cs="宋体"/>
          <w:snapToGrid w:val="0"/>
          <w:color w:val="000000"/>
          <w:kern w:val="0"/>
          <w:sz w:val="24"/>
          <w:szCs w:val="24"/>
          <w:highlight w:val="none"/>
          <w:lang w:val="en-US" w:eastAsia="zh-CN" w:bidi="ar-SA"/>
        </w:rPr>
      </w:pPr>
    </w:p>
    <w:p w14:paraId="3525D1BA">
      <w:pPr>
        <w:spacing w:line="360" w:lineRule="auto"/>
        <w:rPr>
          <w:rFonts w:hint="eastAsia" w:ascii="宋体" w:hAnsi="宋体" w:eastAsia="宋体" w:cs="宋体"/>
          <w:snapToGrid w:val="0"/>
          <w:color w:val="000000"/>
          <w:kern w:val="0"/>
          <w:sz w:val="24"/>
          <w:szCs w:val="24"/>
          <w:highlight w:val="none"/>
          <w:lang w:val="en-US" w:eastAsia="zh-CN" w:bidi="ar-SA"/>
        </w:rPr>
      </w:pPr>
    </w:p>
    <w:p w14:paraId="654179B3">
      <w:pPr>
        <w:spacing w:line="360" w:lineRule="auto"/>
        <w:rPr>
          <w:rFonts w:hint="eastAsia" w:ascii="宋体" w:hAnsi="宋体" w:eastAsia="宋体" w:cs="宋体"/>
          <w:bCs/>
          <w:sz w:val="24"/>
          <w:szCs w:val="24"/>
        </w:rPr>
      </w:pPr>
      <w:r>
        <w:rPr>
          <w:rFonts w:hint="eastAsia" w:ascii="宋体" w:hAnsi="宋体" w:eastAsia="宋体" w:cs="宋体"/>
          <w:snapToGrid w:val="0"/>
          <w:color w:val="000000"/>
          <w:kern w:val="0"/>
          <w:sz w:val="24"/>
          <w:szCs w:val="24"/>
          <w:highlight w:val="none"/>
          <w:lang w:val="en-US" w:eastAsia="zh-CN" w:bidi="ar-SA"/>
        </w:rPr>
        <w:t>附件2：</w:t>
      </w:r>
    </w:p>
    <w:p w14:paraId="79402DA8">
      <w:pPr>
        <w:spacing w:line="360" w:lineRule="auto"/>
        <w:jc w:val="center"/>
        <w:outlineLvl w:val="0"/>
        <w:rPr>
          <w:rFonts w:hint="eastAsia" w:ascii="宋体" w:hAnsi="宋体" w:eastAsia="宋体" w:cs="宋体"/>
          <w:b/>
          <w:bCs/>
          <w:sz w:val="32"/>
          <w:szCs w:val="32"/>
        </w:rPr>
      </w:pPr>
      <w:bookmarkStart w:id="138" w:name="_Toc17594"/>
      <w:bookmarkStart w:id="139" w:name="_Toc22289"/>
      <w:bookmarkStart w:id="140" w:name="_Toc16402"/>
      <w:r>
        <w:rPr>
          <w:rFonts w:hint="eastAsia" w:ascii="宋体" w:hAnsi="宋体" w:eastAsia="宋体" w:cs="宋体"/>
          <w:b/>
          <w:bCs/>
          <w:sz w:val="32"/>
          <w:szCs w:val="32"/>
          <w:lang w:eastAsia="zh-CN"/>
        </w:rPr>
        <w:t>保密确认</w:t>
      </w:r>
      <w:r>
        <w:rPr>
          <w:rFonts w:hint="eastAsia" w:ascii="宋体" w:hAnsi="宋体" w:eastAsia="宋体" w:cs="宋体"/>
          <w:b/>
          <w:bCs/>
          <w:sz w:val="32"/>
          <w:szCs w:val="32"/>
        </w:rPr>
        <w:t>书</w:t>
      </w:r>
      <w:bookmarkEnd w:id="138"/>
      <w:bookmarkEnd w:id="139"/>
      <w:bookmarkEnd w:id="140"/>
    </w:p>
    <w:p w14:paraId="08B3BEB3">
      <w:pPr>
        <w:pStyle w:val="18"/>
        <w:spacing w:after="0" w:line="360" w:lineRule="auto"/>
        <w:ind w:firstLine="241" w:firstLineChars="100"/>
        <w:jc w:val="center"/>
        <w:rPr>
          <w:rFonts w:hint="eastAsia" w:ascii="宋体" w:hAnsi="宋体" w:eastAsia="宋体" w:cs="宋体"/>
          <w:b/>
          <w:sz w:val="24"/>
          <w:szCs w:val="24"/>
        </w:rPr>
      </w:pPr>
    </w:p>
    <w:p w14:paraId="029A2463">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本保密确认书由                 （以下简称“接收方”）于2025年  月  日在          签署协议。</w:t>
      </w:r>
    </w:p>
    <w:p w14:paraId="6F7907F0">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本保密确认书是基于靖远煤业集团刘化化工有限公司（以下简称“披露方”）与接收方关于</w:t>
      </w:r>
      <w:r>
        <w:rPr>
          <w:rFonts w:hint="eastAsia" w:ascii="宋体" w:hAnsi="宋体" w:cs="宋体"/>
          <w:color w:val="auto"/>
          <w:sz w:val="24"/>
          <w:szCs w:val="24"/>
          <w:lang w:val="en-US" w:eastAsia="zh-CN"/>
        </w:rPr>
        <w:t>靖远煤电清洁高效气化气综合利用(搬迁改造)项目一期工程</w:t>
      </w:r>
      <w:r>
        <w:rPr>
          <w:rFonts w:hint="eastAsia" w:ascii="宋体" w:hAnsi="宋体" w:eastAsia="宋体" w:cs="宋体"/>
          <w:color w:val="auto"/>
          <w:sz w:val="24"/>
          <w:szCs w:val="24"/>
          <w:lang w:val="en-US" w:eastAsia="zh-CN"/>
        </w:rPr>
        <w:t>竣工</w:t>
      </w:r>
      <w:r>
        <w:rPr>
          <w:rFonts w:hint="eastAsia" w:ascii="宋体" w:hAnsi="宋体" w:eastAsia="宋体" w:cs="宋体"/>
          <w:color w:val="auto"/>
          <w:sz w:val="24"/>
          <w:szCs w:val="24"/>
        </w:rPr>
        <w:t>环境保护验收</w:t>
      </w:r>
      <w:r>
        <w:rPr>
          <w:rFonts w:hint="eastAsia" w:ascii="宋体" w:hAnsi="宋体" w:eastAsia="宋体" w:cs="宋体"/>
          <w:sz w:val="24"/>
          <w:szCs w:val="24"/>
          <w:u w:val="none"/>
          <w:lang w:val="en-US" w:eastAsia="zh-CN"/>
        </w:rPr>
        <w:t>服务</w:t>
      </w:r>
      <w:r>
        <w:rPr>
          <w:rFonts w:hint="eastAsia" w:ascii="宋体" w:hAnsi="宋体" w:eastAsia="宋体" w:cs="宋体"/>
          <w:b w:val="0"/>
          <w:bCs w:val="0"/>
          <w:snapToGrid w:val="0"/>
          <w:color w:val="000000"/>
          <w:kern w:val="0"/>
          <w:sz w:val="24"/>
          <w:szCs w:val="24"/>
          <w:highlight w:val="none"/>
          <w:lang w:val="en-US" w:eastAsia="zh-CN" w:bidi="ar-SA"/>
        </w:rPr>
        <w:t>（以下简称“项目”）的相关工作而签订。</w:t>
      </w:r>
    </w:p>
    <w:p w14:paraId="3EE26754">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在本保密确认书下，披露方与接收方合称为“双方”，单独称为“一方”。</w:t>
      </w:r>
    </w:p>
    <w:p w14:paraId="3779FD13">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接收方同意接收披露方向其已经和将要披露的保密信息，并且确认已知悉保密信息系披露方重要而有价值的财产及应按照下述条款严格保密：</w:t>
      </w:r>
    </w:p>
    <w:p w14:paraId="1043E56D">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一、定义</w:t>
      </w:r>
    </w:p>
    <w:p w14:paraId="1FF0580B">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1.1 保密信息</w:t>
      </w:r>
    </w:p>
    <w:p w14:paraId="09584C85">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本确认书项下，保密信息指代和包括：</w:t>
      </w:r>
    </w:p>
    <w:p w14:paraId="794584E2">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1）由接收方或其代表获取或提供给接收方或其代表的任何和所有的与披露方及其关联机构和/或许可目的相关的文件、数据、信息、材料和知识产权，无论以口头、视频或书面形式（包括通过电子传输和其他任何媒介，并包括其任何副本、电子档案、摘录或复制品），也无论这些信息是否被列为保密；</w:t>
      </w:r>
    </w:p>
    <w:p w14:paraId="0D0D85BF">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（2）以及由披露方或其代表准备的、包含、反映或源自上述(a)中详述的信息的任何内部和外部笔记、分析、结果、报告、汇编、备忘和任何其他文件；</w:t>
      </w:r>
    </w:p>
    <w:p w14:paraId="7AC2E512">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（3）本保密确认书的存在，许可目的正在被考虑、讨论或协商的事实，包括其条款、条件和双方的考虑、讨论或协商的情况，和涉及许可目的而披露或达成的任何文件、陈述、合同或协议的存在及内容。</w:t>
      </w:r>
    </w:p>
    <w:p w14:paraId="6D3FAC4E">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（4）上述定义的保密信息应包括由接收方及其代表在签署本保密协议之后或当日由接收方或其代表人获得、或已经获得、或被提供的保密信息。</w:t>
      </w:r>
    </w:p>
    <w:p w14:paraId="40205AB3">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本确认书项下，保密信息系指披露方在项目合作过程中向接收方提供的包括但不限于披露方的与研究、开发、生产、产品、服务、客户、市场有关的软件、程序、发明、工艺、设计、图纸、技术秘密、硬件配置信息、客户名单、价格、成本、预测和估计、报表、研究报告、合同、商业计划、商业秘密、商业模式、公司决议等任何或所有的商业信息、财务信息、技术资料、生产资料以及会议资料和文件等。</w:t>
      </w:r>
    </w:p>
    <w:p w14:paraId="64E6AFB5">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上述保密信息可以以数据、文字及记载上述内容的资料、光盘、软件、图书等有形媒介体现，也可通过其他介质形式包括口头传递体现。</w:t>
      </w:r>
    </w:p>
    <w:p w14:paraId="33C2D609">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1.2关联方</w:t>
      </w:r>
    </w:p>
    <w:p w14:paraId="3256404C">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就一方而言，关联机构是指被该方控制、与该方受共同控制、或者控制该方的法人实体或公司。只为本定义的目的，控制系指（1）直接或间接地拥有指导一个法人实体或公司的管理或政策的权力，或（2）直接或间接地拥有该法人实体或公司大于50%的已发行有表决权股份或其他所有者权益。</w:t>
      </w:r>
    </w:p>
    <w:p w14:paraId="5CE6801B">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一方的下列人员为该方的关联方：</w:t>
      </w:r>
    </w:p>
    <w:p w14:paraId="36C88909">
      <w:pPr>
        <w:pStyle w:val="18"/>
        <w:keepNext w:val="0"/>
        <w:keepLines w:val="0"/>
        <w:pageBreakBefore w:val="0"/>
        <w:widowControl w:val="0"/>
        <w:kinsoku/>
        <w:wordWrap w:val="0"/>
        <w:overflowPunct/>
        <w:topLinePunct w:val="0"/>
        <w:autoSpaceDE/>
        <w:autoSpaceDN/>
        <w:bidi w:val="0"/>
        <w:adjustRightInd/>
        <w:snapToGrid w:val="0"/>
        <w:spacing w:after="0" w:line="360" w:lineRule="auto"/>
        <w:ind w:firstLine="240" w:firstLineChars="100"/>
        <w:jc w:val="both"/>
        <w:textAlignment w:val="auto"/>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a）该方的母公司；（b）该方的子公司；（c）与该方受同一母公司控制的其他企业；控制，是指有权决定一个企业的财务和经营政策，并能据以从该方的经营活动中获取利益；（d）对该方实施共同控制的投资方；共同控制，是指按照合同约定对某项经济活动所共有的控制，仅在与该项经济活动相关的重要财务和经营决策需要分享控制权的投资方一致同意时存在；（e）对该方施加重大影响的投资方；重大影响，是指对一个企业的财务和经营政策有参与决策的权力，但并不能够控制或者与其他方一起共同控制这些政策的制定；（f）该方的合营企业；（g）该方的联营企业；（h）该方的主要投资者个人及与其关系密切的家庭成员；主要投资者个人，是指能够控制、共同控制一个企业或者对一个企业施加重大影响的个人投资者；（i）该方或其母公司的关键管理人员及与其关系密切的家庭成员；关键管理人员，是指有权力并负责计划、指挥和控制企业活动的人员；与主要投资者个人或关键管理人员关系密切的家庭成员，是指在处理与企业的交易时可能影响该个人或受该个人影响的家庭成员；（j）该方主要投资者个人、关键管理人员或与其关系密切的家庭成员控制、共同控制或施加重大影响的其他企业。</w:t>
      </w:r>
    </w:p>
    <w:p w14:paraId="4A2DACE1">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二、不披露义务</w:t>
      </w:r>
    </w:p>
    <w:p w14:paraId="676EDD3F">
      <w:pPr>
        <w:pStyle w:val="18"/>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both"/>
        <w:textAlignment w:val="auto"/>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 xml:space="preserve">2.1 接收方不得将披露方披露的任何保密信息用于项目之外的任何目的。  </w:t>
      </w:r>
    </w:p>
    <w:p w14:paraId="53CDA90B">
      <w:pPr>
        <w:pStyle w:val="18"/>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both"/>
        <w:textAlignment w:val="auto"/>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2.2 接收方同意，仅可为项目之必需将保密信息披露给直接或间接参与项目的接收方关联方，并应保证其对保密信息承担本确认书约定的保密义务。对于该关联方违反本确认书条款的任何行为，接收方应负全部责任。</w:t>
      </w:r>
    </w:p>
    <w:p w14:paraId="246C5AFC">
      <w:pPr>
        <w:pStyle w:val="18"/>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both"/>
        <w:textAlignment w:val="auto"/>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2.3 接收方应对披露方披露的保密信息严格保密，除本确认书另有规定外，未经披露方书面同意，接收方不得将保密信息以任何形式向任何第三方披露、泄露、出售、交易、公布、复制或使用。</w:t>
      </w:r>
    </w:p>
    <w:p w14:paraId="50524DA1">
      <w:pPr>
        <w:pStyle w:val="18"/>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both"/>
        <w:textAlignment w:val="auto"/>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2.4 在不减损本确认书的任何其他条款的前提下，若仅为双方合作项目之必需，接收方拟向任何第三方披露任何保密信息前，应当经披露方事先书面同意，且应当保证该等第三方承担不低于本确认书规定的保密义务。对于该等第三方违反本确认书条款的任何行为，接收方应负全部责任。</w:t>
      </w:r>
    </w:p>
    <w:p w14:paraId="0226CBB7">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2.5 如果经披露方书面同意披露保密信息的，接收方应当采取一切必要措施严格控制在为本项目目的所必须披露的范围内。</w:t>
      </w:r>
    </w:p>
    <w:p w14:paraId="0BAB1069">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2.6 根据中华人民共和国相关法律规定、有关监管部门的规定或者要求需向第三方披露保密信息的情况下，接收方应与披露方合作通过所有合法合理的办法尽量减小保密信息披露的机会和范围以及由于披露而给披露方造成的负面影响。</w:t>
      </w:r>
    </w:p>
    <w:p w14:paraId="40CD1EF2">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三、保密期限</w:t>
      </w:r>
    </w:p>
    <w:p w14:paraId="45A495E1">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保密期限为20年，自接收方接受披露方披露的保密信息之日起开始计算。如果相关法律法规规定的保密期限更长的，则本确认书项下的保密期限相应以相关法律法规规定作准。</w:t>
      </w:r>
    </w:p>
    <w:p w14:paraId="44ECF3F9">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四、保密义务之例外</w:t>
      </w:r>
    </w:p>
    <w:p w14:paraId="2C206C10">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除非接收方能证明保密信息有下述情况的，接收方保密义务和责任不应解除：</w:t>
      </w:r>
    </w:p>
    <w:p w14:paraId="0AF3CD94">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4.1 非由于接收方的行为或过错，在披露方披露保密信息时或者保密信息披露后，这些保密信息已经成为公众所知或者公众可以获得的信息；或</w:t>
      </w:r>
    </w:p>
    <w:p w14:paraId="4EC3E469">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4.2 接收方证明在披露方披露时已属于接收方所有的信息，且该等信息并非以违反任何保密或不披露义务的方式从披露方或任何其他方得到；或</w:t>
      </w:r>
    </w:p>
    <w:p w14:paraId="7D344A78">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4.3 接收方从有合法披露权的第三方在不受保密限制的情况下得到。</w:t>
      </w:r>
    </w:p>
    <w:p w14:paraId="7B70334B">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尽管特定保密信息被包含在已公开或者公众可以获得的信息中，这种情况下，接收方不得豁免保密义务和责任。同时，如果保密信息的某些特性出现上述情形，接收方亦不得豁免保密义务和责任。</w:t>
      </w:r>
    </w:p>
    <w:p w14:paraId="6E6961A0">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五、转让或授予</w:t>
      </w:r>
    </w:p>
    <w:p w14:paraId="2CEE954A">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披露方依据本确认书向接收方披露保密信息，均不应被解释为披露方向接收方或其关联方转让或授予披露方对其专利、商标、著作、技术秘密或任何其它知识产权拥有的权益，也不构成向接收方或其关联方转让或授予披露方获得第三方许可使用的专利、商标、著作、技术秘密或任何其它知识产权的有关权益。</w:t>
      </w:r>
    </w:p>
    <w:p w14:paraId="2C1AF79E">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六、保密信息的返还</w:t>
      </w:r>
    </w:p>
    <w:p w14:paraId="097B2830">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所有保密信息均为披露方或与披露方有合同关系的第三方的财产。接收方同意一经披露方要求将立即向披露方归还或销毁披露方向其披露的所有保密信息的所有材料和其所有副本（无论打印稿或电子稿）、以及接收方或其关联方制作的项目相关工作成果。</w:t>
      </w:r>
    </w:p>
    <w:p w14:paraId="152D9291">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七、违约责任</w:t>
      </w:r>
    </w:p>
    <w:p w14:paraId="4D7A8116">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7.1接收方或其关联方未履行本确认书项下的保密义务均被视为接收方违约，接收方除应当立即停止违约行为、消除影响之外，还应当赔偿披露方因此遭受的全部损失，其赔偿损失的范围包括但不限于：披露方的直接损失、丧失商业机会的损失、丧失相关权利的损失、调查违约行为而支出的合理费用以及仲裁费、诉讼费、律师费等。</w:t>
      </w:r>
    </w:p>
    <w:p w14:paraId="50156B44">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八、适用法律</w:t>
      </w:r>
    </w:p>
    <w:p w14:paraId="3D3BFD3D">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本确认书受中华人民共和国法律管辖并依据中华人民共和国法律进行解释和执行（香港、澳门与台湾地区的法律除外）。</w:t>
      </w:r>
    </w:p>
    <w:p w14:paraId="7238C3D1">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九、争议解决</w:t>
      </w:r>
    </w:p>
    <w:p w14:paraId="0199616B">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如果通过协商不能解决争议或不愿意通过协商解决争议的，双方约定在业主所在地有管辖权的法院诉讼解决。</w:t>
      </w:r>
    </w:p>
    <w:p w14:paraId="24846E5F">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十、联系人及联系方式</w:t>
      </w:r>
    </w:p>
    <w:p w14:paraId="2F19ECF8">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10.1 披露方联系信息</w:t>
      </w:r>
    </w:p>
    <w:p w14:paraId="6359C08E">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靖远煤业为集团刘化化工有限公司</w:t>
      </w:r>
    </w:p>
    <w:p w14:paraId="7D8706A4">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法定代表人/负责人：</w:t>
      </w:r>
    </w:p>
    <w:p w14:paraId="160748D7">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注册地址：甘肃省白银市白银区王岘镇东星村苏家墩201号</w:t>
      </w:r>
    </w:p>
    <w:p w14:paraId="15FD5E48">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联 系 人：</w:t>
      </w:r>
    </w:p>
    <w:p w14:paraId="6C4126F6">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电   话：</w:t>
      </w:r>
    </w:p>
    <w:p w14:paraId="51E6CFDB">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邮   箱：</w:t>
      </w:r>
    </w:p>
    <w:p w14:paraId="3D883189">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通讯地址：甘肃省白银市白银区王岘镇东星村苏家墩201号</w:t>
      </w:r>
    </w:p>
    <w:p w14:paraId="37A21669">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邮   编：730900</w:t>
      </w:r>
    </w:p>
    <w:p w14:paraId="1E2D8D9F">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10.2 接收方联系信息</w:t>
      </w:r>
    </w:p>
    <w:p w14:paraId="5F4D2208">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 xml:space="preserve"> 法定代表人/负责人：</w:t>
      </w:r>
    </w:p>
    <w:p w14:paraId="1809251B">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 xml:space="preserve">注册地址： </w:t>
      </w:r>
    </w:p>
    <w:p w14:paraId="45459DFD">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 xml:space="preserve">联 系 人： </w:t>
      </w:r>
    </w:p>
    <w:p w14:paraId="084E8702">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 xml:space="preserve">电   话： </w:t>
      </w:r>
    </w:p>
    <w:p w14:paraId="35337CFD">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 xml:space="preserve">邮   箱： </w:t>
      </w:r>
    </w:p>
    <w:p w14:paraId="53D758C6">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 xml:space="preserve">通讯地址： </w:t>
      </w:r>
    </w:p>
    <w:p w14:paraId="3F708A4E">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 xml:space="preserve">邮   编： </w:t>
      </w:r>
    </w:p>
    <w:p w14:paraId="640A9F9C">
      <w:pPr>
        <w:pStyle w:val="18"/>
        <w:spacing w:after="0" w:line="360" w:lineRule="auto"/>
        <w:ind w:firstLine="240" w:firstLineChars="100"/>
        <w:jc w:val="both"/>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十一、生效</w:t>
      </w:r>
    </w:p>
    <w:p w14:paraId="17B7C788">
      <w:pPr>
        <w:pStyle w:val="5"/>
        <w:keepNext w:val="0"/>
        <w:keepLines w:val="0"/>
        <w:pageBreakBefore w:val="0"/>
        <w:widowControl w:val="0"/>
        <w:kinsoku/>
        <w:wordWrap w:val="0"/>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b w:val="0"/>
          <w:bCs w:val="0"/>
          <w:snapToGrid w:val="0"/>
          <w:color w:val="000000"/>
          <w:kern w:val="0"/>
          <w:sz w:val="24"/>
          <w:szCs w:val="24"/>
          <w:highlight w:val="none"/>
          <w:lang w:val="en-US" w:eastAsia="zh-CN" w:bidi="ar-SA"/>
        </w:rPr>
      </w:pPr>
      <w:r>
        <w:rPr>
          <w:rFonts w:hint="eastAsia" w:ascii="宋体" w:hAnsi="宋体" w:eastAsia="宋体" w:cs="宋体"/>
          <w:b w:val="0"/>
          <w:bCs w:val="0"/>
          <w:snapToGrid w:val="0"/>
          <w:color w:val="000000"/>
          <w:kern w:val="0"/>
          <w:sz w:val="24"/>
          <w:szCs w:val="24"/>
          <w:highlight w:val="none"/>
          <w:lang w:val="en-US" w:eastAsia="zh-CN" w:bidi="ar-SA"/>
        </w:rPr>
        <w:t>本确认书自接收方法定代表人/负责人或授权代表签署并加盖合同专用章之日起生效。</w:t>
      </w:r>
    </w:p>
    <w:p w14:paraId="3E7B6C5C">
      <w:pPr>
        <w:pStyle w:val="5"/>
        <w:keepNext w:val="0"/>
        <w:keepLines w:val="0"/>
        <w:pageBreakBefore w:val="0"/>
        <w:widowControl w:val="0"/>
        <w:kinsoku/>
        <w:wordWrap/>
        <w:overflowPunct/>
        <w:topLinePunct w:val="0"/>
        <w:autoSpaceDE/>
        <w:autoSpaceDN/>
        <w:bidi w:val="0"/>
        <w:adjustRightInd/>
        <w:snapToGrid w:val="0"/>
        <w:spacing w:line="360" w:lineRule="auto"/>
        <w:ind w:left="420" w:hanging="480" w:hangingChars="200"/>
        <w:jc w:val="left"/>
        <w:textAlignment w:val="auto"/>
        <w:rPr>
          <w:rFonts w:hint="eastAsia" w:ascii="宋体" w:hAnsi="宋体" w:eastAsia="宋体" w:cs="宋体"/>
          <w:b w:val="0"/>
          <w:bCs w:val="0"/>
          <w:snapToGrid w:val="0"/>
          <w:color w:val="000000"/>
          <w:kern w:val="0"/>
          <w:sz w:val="24"/>
          <w:szCs w:val="24"/>
          <w:highlight w:val="none"/>
          <w:lang w:val="en-US" w:eastAsia="zh-CN" w:bidi="ar-SA"/>
        </w:rPr>
      </w:pPr>
    </w:p>
    <w:p w14:paraId="3301C29E">
      <w:pPr>
        <w:pStyle w:val="18"/>
        <w:spacing w:after="0" w:line="360" w:lineRule="auto"/>
        <w:jc w:val="both"/>
        <w:rPr>
          <w:rFonts w:hint="eastAsia" w:ascii="宋体" w:hAnsi="宋体" w:eastAsia="宋体" w:cs="宋体"/>
          <w:snapToGrid w:val="0"/>
          <w:color w:val="000000"/>
          <w:kern w:val="0"/>
          <w:sz w:val="24"/>
          <w:szCs w:val="24"/>
          <w:highlight w:val="none"/>
          <w:lang w:val="en-US" w:eastAsia="zh-CN" w:bidi="ar-SA"/>
        </w:rPr>
      </w:pPr>
    </w:p>
    <w:p w14:paraId="03D88F6F">
      <w:pPr>
        <w:pStyle w:val="18"/>
        <w:spacing w:after="0" w:line="360" w:lineRule="auto"/>
        <w:jc w:val="both"/>
        <w:rPr>
          <w:rFonts w:hint="eastAsia" w:ascii="宋体" w:hAnsi="宋体" w:eastAsia="宋体" w:cs="宋体"/>
          <w:b/>
          <w:bCs/>
          <w:kern w:val="2"/>
          <w:sz w:val="24"/>
          <w:szCs w:val="24"/>
          <w:lang w:val="en-US" w:eastAsia="zh-CN" w:bidi="ar-SA"/>
        </w:rPr>
      </w:pPr>
      <w:r>
        <w:rPr>
          <w:rFonts w:hint="eastAsia" w:ascii="宋体" w:hAnsi="宋体" w:eastAsia="宋体" w:cs="宋体"/>
          <w:snapToGrid w:val="0"/>
          <w:color w:val="000000"/>
          <w:kern w:val="0"/>
          <w:sz w:val="24"/>
          <w:szCs w:val="24"/>
          <w:highlight w:val="none"/>
          <w:lang w:val="en-US" w:eastAsia="zh-CN" w:bidi="ar-SA"/>
        </w:rPr>
        <w:t>附件3：</w:t>
      </w:r>
    </w:p>
    <w:p w14:paraId="13C8CA96">
      <w:pPr>
        <w:pStyle w:val="18"/>
        <w:spacing w:after="0" w:line="360" w:lineRule="auto"/>
        <w:ind w:firstLine="321" w:firstLineChars="100"/>
        <w:jc w:val="center"/>
        <w:rPr>
          <w:rFonts w:hint="eastAsia" w:ascii="宋体" w:hAnsi="宋体" w:eastAsia="宋体" w:cs="宋体"/>
          <w:b/>
          <w:bCs/>
          <w:kern w:val="2"/>
          <w:sz w:val="32"/>
          <w:szCs w:val="32"/>
          <w:lang w:val="en-US" w:eastAsia="zh-CN" w:bidi="ar-SA"/>
        </w:rPr>
      </w:pPr>
      <w:r>
        <w:rPr>
          <w:rFonts w:hint="eastAsia" w:hAnsi="宋体" w:cs="宋体"/>
          <w:b/>
          <w:bCs/>
          <w:kern w:val="2"/>
          <w:sz w:val="32"/>
          <w:szCs w:val="32"/>
          <w:lang w:val="en-US" w:eastAsia="zh-CN" w:bidi="ar-SA"/>
        </w:rPr>
        <w:t>供应商</w:t>
      </w:r>
      <w:r>
        <w:rPr>
          <w:rFonts w:hint="eastAsia" w:ascii="宋体" w:hAnsi="宋体" w:eastAsia="宋体" w:cs="宋体"/>
          <w:b/>
          <w:bCs/>
          <w:kern w:val="2"/>
          <w:sz w:val="32"/>
          <w:szCs w:val="32"/>
          <w:lang w:val="en-US" w:eastAsia="zh-CN" w:bidi="ar-SA"/>
        </w:rPr>
        <w:t>廉洁承诺书</w:t>
      </w:r>
    </w:p>
    <w:p w14:paraId="45F201B2">
      <w:pPr>
        <w:pStyle w:val="8"/>
        <w:widowControl/>
        <w:spacing w:before="0" w:beforeLines="0" w:beforeAutospacing="0" w:after="0" w:afterAutospacing="0" w:line="440" w:lineRule="exact"/>
        <w:ind w:firstLine="480" w:firstLineChars="200"/>
        <w:rPr>
          <w:rFonts w:hint="eastAsia"/>
          <w:kern w:val="2"/>
        </w:rPr>
      </w:pPr>
      <w:r>
        <w:rPr>
          <w:rFonts w:hint="eastAsia"/>
          <w:kern w:val="2"/>
        </w:rPr>
        <w:t xml:space="preserve">本公司自愿与靖远煤业集团刘化化工有限公司（以下简称“贵公司”）长久合作，互惠共赢。为规范招投标、物资采购等经济活动及合同履行，确保公开、公正、公平，从源头上预防和遏制违纪违法问题发生，特承诺如下： </w:t>
      </w:r>
    </w:p>
    <w:p w14:paraId="5A7344BB">
      <w:pPr>
        <w:pStyle w:val="8"/>
        <w:widowControl/>
        <w:spacing w:before="0" w:beforeLines="0" w:beforeAutospacing="0" w:after="0" w:afterAutospacing="0" w:line="440" w:lineRule="exact"/>
        <w:ind w:firstLine="480" w:firstLineChars="200"/>
        <w:rPr>
          <w:rFonts w:hint="eastAsia"/>
          <w:kern w:val="2"/>
        </w:rPr>
      </w:pPr>
      <w:r>
        <w:rPr>
          <w:rFonts w:hint="eastAsia"/>
          <w:kern w:val="2"/>
        </w:rPr>
        <w:t xml:space="preserve">一、在与贵公司业务往来合作过程中，严格遵守国家有关法律法规和廉洁规定，坚持公平、公开、公正、诚实信用的原则，绝不做出损害双方企业利益的行为。 </w:t>
      </w:r>
    </w:p>
    <w:p w14:paraId="092D102B">
      <w:pPr>
        <w:pStyle w:val="8"/>
        <w:widowControl/>
        <w:spacing w:before="0" w:beforeLines="0" w:beforeAutospacing="0" w:after="0" w:afterAutospacing="0" w:line="440" w:lineRule="exact"/>
        <w:ind w:firstLine="480" w:firstLineChars="200"/>
        <w:rPr>
          <w:rFonts w:hint="eastAsia"/>
          <w:kern w:val="2"/>
        </w:rPr>
      </w:pPr>
      <w:r>
        <w:rPr>
          <w:rFonts w:hint="eastAsia"/>
          <w:kern w:val="2"/>
        </w:rPr>
        <w:t>二、在与贵公司合作期间，不以任何理由向贵公司人员及其亲属行贿，赠送礼品礼金、购物卡、有价证券，不以任何形式为贵公司人员及其亲属免费提供劳务或支付应由其个人支付的餐饮、消费等费用。</w:t>
      </w:r>
    </w:p>
    <w:p w14:paraId="6DA61EFC">
      <w:pPr>
        <w:pStyle w:val="8"/>
        <w:widowControl/>
        <w:spacing w:before="0" w:beforeLines="0" w:beforeAutospacing="0" w:after="0" w:afterAutospacing="0" w:line="440" w:lineRule="exact"/>
        <w:ind w:firstLine="480" w:firstLineChars="200"/>
        <w:rPr>
          <w:rFonts w:hint="eastAsia"/>
          <w:kern w:val="2"/>
        </w:rPr>
      </w:pPr>
      <w:r>
        <w:rPr>
          <w:rFonts w:hint="eastAsia"/>
          <w:kern w:val="2"/>
        </w:rPr>
        <w:t xml:space="preserve">三、不与贵公司人员及其亲属从事合作项目相关的物资买卖或其他经济活动。 </w:t>
      </w:r>
    </w:p>
    <w:p w14:paraId="1A1E573C">
      <w:pPr>
        <w:pStyle w:val="8"/>
        <w:widowControl/>
        <w:spacing w:before="0" w:beforeLines="0" w:beforeAutospacing="0" w:after="0" w:afterAutospacing="0" w:line="440" w:lineRule="exact"/>
        <w:ind w:firstLine="480" w:firstLineChars="200"/>
        <w:rPr>
          <w:rFonts w:hint="eastAsia"/>
          <w:kern w:val="2"/>
        </w:rPr>
      </w:pPr>
      <w:r>
        <w:rPr>
          <w:rFonts w:hint="eastAsia"/>
          <w:kern w:val="2"/>
        </w:rPr>
        <w:t xml:space="preserve">四、不与其他竞卖人相互串标、围标，不采取任何手段排挤其他竞卖人参与公平竞争和损害贵公司利益。 </w:t>
      </w:r>
    </w:p>
    <w:p w14:paraId="09ECF79B">
      <w:pPr>
        <w:pStyle w:val="8"/>
        <w:widowControl/>
        <w:spacing w:before="0" w:beforeLines="0" w:beforeAutospacing="0" w:after="0" w:afterAutospacing="0" w:line="440" w:lineRule="exact"/>
        <w:ind w:firstLine="480" w:firstLineChars="200"/>
        <w:rPr>
          <w:rFonts w:hint="eastAsia"/>
          <w:kern w:val="2"/>
        </w:rPr>
      </w:pPr>
      <w:r>
        <w:rPr>
          <w:rFonts w:hint="eastAsia"/>
          <w:kern w:val="2"/>
        </w:rPr>
        <w:t>五、不私下接触贵公司人员，不以弄虚作假的方式参加竞卖。</w:t>
      </w:r>
    </w:p>
    <w:p w14:paraId="77F0B40A">
      <w:pPr>
        <w:pStyle w:val="8"/>
        <w:widowControl/>
        <w:spacing w:before="0" w:beforeLines="0" w:beforeAutospacing="0" w:after="0" w:afterAutospacing="0" w:line="440" w:lineRule="exact"/>
        <w:ind w:firstLine="480" w:firstLineChars="200"/>
        <w:rPr>
          <w:rFonts w:hint="eastAsia"/>
          <w:kern w:val="2"/>
        </w:rPr>
      </w:pPr>
      <w:r>
        <w:rPr>
          <w:rFonts w:hint="eastAsia"/>
          <w:kern w:val="2"/>
        </w:rPr>
        <w:t>六、本公司积极配合贵公司信访调查、检查、调研等工作，及时提供相关资料并保证所提供资料、信息的准确性客观性。</w:t>
      </w:r>
    </w:p>
    <w:p w14:paraId="2E7F4188">
      <w:pPr>
        <w:pStyle w:val="8"/>
        <w:widowControl/>
        <w:spacing w:before="0" w:beforeLines="0" w:beforeAutospacing="0" w:after="0" w:afterAutospacing="0" w:line="440" w:lineRule="exact"/>
        <w:ind w:firstLine="480" w:firstLineChars="200"/>
        <w:rPr>
          <w:rFonts w:hint="eastAsia"/>
          <w:kern w:val="2"/>
        </w:rPr>
      </w:pPr>
      <w:r>
        <w:rPr>
          <w:rFonts w:hint="eastAsia"/>
          <w:kern w:val="2"/>
        </w:rPr>
        <w:t>七、若有贵公司工作人员提出违纪要求或有其它违纪违法问题，立即向贵公司纪检部门举报。</w:t>
      </w:r>
    </w:p>
    <w:p w14:paraId="750C4B29">
      <w:pPr>
        <w:pStyle w:val="8"/>
        <w:widowControl/>
        <w:spacing w:before="0" w:beforeLines="0" w:beforeAutospacing="0" w:after="0" w:afterAutospacing="0" w:line="440" w:lineRule="exact"/>
        <w:ind w:firstLine="480" w:firstLineChars="200"/>
        <w:rPr>
          <w:rFonts w:hint="eastAsia"/>
          <w:kern w:val="2"/>
        </w:rPr>
      </w:pPr>
      <w:r>
        <w:rPr>
          <w:rFonts w:hint="eastAsia"/>
          <w:kern w:val="2"/>
        </w:rPr>
        <w:t xml:space="preserve">举报电话：17609432773  13195942226  </w:t>
      </w:r>
    </w:p>
    <w:p w14:paraId="1844F070">
      <w:pPr>
        <w:pStyle w:val="8"/>
        <w:widowControl/>
        <w:spacing w:before="0" w:beforeLines="0" w:beforeAutospacing="0" w:after="0" w:afterAutospacing="0" w:line="440" w:lineRule="exact"/>
        <w:ind w:firstLine="480" w:firstLineChars="200"/>
        <w:rPr>
          <w:rFonts w:hint="eastAsia"/>
          <w:kern w:val="2"/>
        </w:rPr>
      </w:pPr>
      <w:r>
        <w:rPr>
          <w:rFonts w:hint="eastAsia"/>
          <w:kern w:val="2"/>
        </w:rPr>
        <w:t>举报邮箱：LHHGjw2023＠163.com</w:t>
      </w:r>
    </w:p>
    <w:p w14:paraId="677F796D">
      <w:pPr>
        <w:pStyle w:val="8"/>
        <w:widowControl/>
        <w:spacing w:before="0" w:beforeLines="0" w:beforeAutospacing="0" w:after="0" w:afterAutospacing="0" w:line="440" w:lineRule="exact"/>
        <w:ind w:firstLine="480" w:firstLineChars="200"/>
        <w:rPr>
          <w:rFonts w:hint="eastAsia"/>
          <w:kern w:val="2"/>
        </w:rPr>
      </w:pPr>
      <w:r>
        <w:rPr>
          <w:rFonts w:hint="eastAsia"/>
          <w:kern w:val="2"/>
        </w:rPr>
        <w:t>八、如违反上述承诺，贵公司有权立即终止与我公司合作，并列入贵公司的黑名单，永久取消项目投标、供应商资格。</w:t>
      </w:r>
    </w:p>
    <w:p w14:paraId="1D80B306">
      <w:pPr>
        <w:pStyle w:val="8"/>
        <w:widowControl/>
        <w:spacing w:before="0" w:beforeLines="0" w:beforeAutospacing="0" w:after="0" w:afterAutospacing="0" w:line="440" w:lineRule="exact"/>
        <w:ind w:firstLine="480" w:firstLineChars="200"/>
        <w:rPr>
          <w:rFonts w:hint="eastAsia"/>
          <w:kern w:val="2"/>
        </w:rPr>
      </w:pPr>
      <w:r>
        <w:rPr>
          <w:rFonts w:hint="eastAsia"/>
          <w:kern w:val="2"/>
        </w:rPr>
        <w:t xml:space="preserve">此承诺书的效力在年度供应商入围有效期内。 </w:t>
      </w:r>
    </w:p>
    <w:p w14:paraId="5A9D0D5E">
      <w:pPr>
        <w:pStyle w:val="8"/>
        <w:widowControl/>
        <w:spacing w:before="0" w:beforeLines="0" w:beforeAutospacing="0" w:after="0" w:afterAutospacing="0" w:line="440" w:lineRule="exact"/>
        <w:ind w:firstLine="480" w:firstLineChars="200"/>
        <w:rPr>
          <w:rFonts w:hint="eastAsia"/>
          <w:kern w:val="2"/>
        </w:rPr>
      </w:pPr>
      <w:r>
        <w:rPr>
          <w:rFonts w:hint="eastAsia"/>
          <w:kern w:val="2"/>
        </w:rPr>
        <w:t xml:space="preserve">此承诺书加盖本公司公章后生效。 </w:t>
      </w:r>
    </w:p>
    <w:p w14:paraId="10DAB9F6">
      <w:pPr>
        <w:pStyle w:val="8"/>
        <w:widowControl/>
        <w:spacing w:before="0" w:beforeLines="0" w:beforeAutospacing="0" w:after="0" w:afterAutospacing="0" w:line="440" w:lineRule="exact"/>
        <w:ind w:firstLine="480" w:firstLineChars="200"/>
        <w:rPr>
          <w:rFonts w:hint="eastAsia"/>
          <w:kern w:val="2"/>
        </w:rPr>
      </w:pPr>
    </w:p>
    <w:p w14:paraId="3DC33004">
      <w:pPr>
        <w:pStyle w:val="8"/>
        <w:widowControl/>
        <w:spacing w:before="0" w:beforeLines="0" w:beforeAutospacing="0" w:after="0" w:afterAutospacing="0" w:line="440" w:lineRule="exact"/>
        <w:ind w:firstLine="480" w:firstLineChars="200"/>
        <w:rPr>
          <w:rFonts w:hint="eastAsia"/>
          <w:kern w:val="2"/>
        </w:rPr>
      </w:pPr>
    </w:p>
    <w:p w14:paraId="2130C010">
      <w:pPr>
        <w:pStyle w:val="8"/>
        <w:widowControl/>
        <w:spacing w:before="0" w:beforeLines="0" w:beforeAutospacing="0" w:after="0" w:afterAutospacing="0" w:line="440" w:lineRule="exact"/>
        <w:ind w:firstLine="480" w:firstLineChars="200"/>
        <w:rPr>
          <w:rFonts w:hint="eastAsia"/>
          <w:kern w:val="2"/>
        </w:rPr>
      </w:pPr>
      <w:r>
        <w:rPr>
          <w:rFonts w:hint="eastAsia"/>
          <w:kern w:val="2"/>
        </w:rPr>
        <w:t xml:space="preserve">承诺方（盖公章）： </w:t>
      </w:r>
    </w:p>
    <w:p w14:paraId="12E7EDFA">
      <w:pPr>
        <w:pStyle w:val="8"/>
        <w:widowControl/>
        <w:spacing w:before="0" w:beforeLines="0" w:beforeAutospacing="0" w:after="0" w:afterAutospacing="0" w:line="440" w:lineRule="exact"/>
        <w:ind w:firstLine="480" w:firstLineChars="200"/>
        <w:rPr>
          <w:rFonts w:hint="eastAsia"/>
          <w:kern w:val="2"/>
        </w:rPr>
      </w:pPr>
      <w:r>
        <w:rPr>
          <w:rFonts w:hint="eastAsia"/>
          <w:kern w:val="2"/>
        </w:rPr>
        <w:t xml:space="preserve">承诺方法人代表（或委托人）： </w:t>
      </w:r>
    </w:p>
    <w:p w14:paraId="1AB0ED88">
      <w:pPr>
        <w:pStyle w:val="8"/>
        <w:widowControl/>
        <w:spacing w:beforeLines="0" w:after="0" w:line="440" w:lineRule="exact"/>
        <w:ind w:firstLine="480" w:firstLineChars="200"/>
        <w:jc w:val="both"/>
        <w:outlineLvl w:val="1"/>
        <w:rPr>
          <w:rFonts w:hint="eastAsia" w:ascii="宋体" w:hAnsi="宋体" w:eastAsia="宋体" w:cs="宋体"/>
          <w:snapToGrid w:val="0"/>
          <w:color w:val="000000"/>
          <w:kern w:val="0"/>
          <w:sz w:val="24"/>
          <w:szCs w:val="24"/>
          <w:highlight w:val="none"/>
          <w:lang w:val="en-US" w:eastAsia="zh-CN" w:bidi="ar-SA"/>
        </w:rPr>
      </w:pPr>
      <w:r>
        <w:rPr>
          <w:rFonts w:hint="eastAsia"/>
          <w:kern w:val="2"/>
        </w:rPr>
        <w:t xml:space="preserve">日期    年   月   日 </w:t>
      </w:r>
      <w:bookmarkStart w:id="141" w:name="_Toc9269"/>
      <w:bookmarkStart w:id="142" w:name="_Toc18310"/>
      <w:bookmarkStart w:id="143" w:name="_Toc13031"/>
    </w:p>
    <w:p w14:paraId="65A3A4AB">
      <w:pPr>
        <w:pStyle w:val="18"/>
        <w:spacing w:after="0" w:line="360" w:lineRule="auto"/>
        <w:jc w:val="both"/>
        <w:outlineLvl w:val="1"/>
        <w:rPr>
          <w:rFonts w:hint="eastAsia" w:ascii="宋体" w:hAnsi="宋体" w:eastAsia="宋体" w:cs="宋体"/>
          <w:snapToGrid w:val="0"/>
          <w:color w:val="000000"/>
          <w:kern w:val="0"/>
          <w:sz w:val="24"/>
          <w:szCs w:val="24"/>
          <w:highlight w:val="none"/>
          <w:lang w:val="en-US" w:eastAsia="zh-CN" w:bidi="ar-SA"/>
        </w:rPr>
      </w:pPr>
    </w:p>
    <w:p w14:paraId="52D0708A">
      <w:pPr>
        <w:pStyle w:val="18"/>
        <w:spacing w:after="0" w:line="360" w:lineRule="auto"/>
        <w:jc w:val="both"/>
        <w:outlineLvl w:val="1"/>
        <w:rPr>
          <w:rFonts w:hint="eastAsia" w:ascii="宋体" w:hAnsi="宋体" w:eastAsia="宋体" w:cs="宋体"/>
          <w:snapToGrid w:val="0"/>
          <w:color w:val="000000"/>
          <w:kern w:val="0"/>
          <w:sz w:val="24"/>
          <w:szCs w:val="24"/>
          <w:highlight w:val="none"/>
          <w:lang w:val="en-US" w:eastAsia="zh-CN" w:bidi="ar-SA"/>
        </w:rPr>
      </w:pPr>
    </w:p>
    <w:p w14:paraId="06A6D00F">
      <w:pPr>
        <w:pStyle w:val="18"/>
        <w:spacing w:after="0" w:line="360" w:lineRule="auto"/>
        <w:jc w:val="both"/>
        <w:outlineLvl w:val="1"/>
        <w:rPr>
          <w:rFonts w:hint="eastAsia" w:ascii="宋体" w:hAnsi="宋体" w:eastAsia="宋体" w:cs="宋体"/>
          <w:bCs/>
          <w:sz w:val="24"/>
          <w:szCs w:val="24"/>
        </w:rPr>
      </w:pPr>
      <w:r>
        <w:rPr>
          <w:rFonts w:hint="eastAsia" w:ascii="宋体" w:hAnsi="宋体" w:eastAsia="宋体" w:cs="宋体"/>
          <w:snapToGrid w:val="0"/>
          <w:color w:val="000000"/>
          <w:kern w:val="0"/>
          <w:sz w:val="24"/>
          <w:szCs w:val="24"/>
          <w:highlight w:val="none"/>
          <w:lang w:val="en-US" w:eastAsia="zh-CN" w:bidi="ar-SA"/>
        </w:rPr>
        <w:t>附件4：</w:t>
      </w:r>
      <w:bookmarkEnd w:id="141"/>
      <w:bookmarkEnd w:id="142"/>
      <w:bookmarkEnd w:id="143"/>
    </w:p>
    <w:p w14:paraId="01D1210E">
      <w:pPr>
        <w:adjustRightInd w:val="0"/>
        <w:snapToGrid w:val="0"/>
        <w:spacing w:line="360" w:lineRule="auto"/>
        <w:jc w:val="center"/>
        <w:rPr>
          <w:rFonts w:hint="eastAsia" w:ascii="宋体" w:hAnsi="宋体" w:eastAsia="宋体" w:cs="宋体"/>
          <w:b/>
          <w:bCs/>
          <w:kern w:val="2"/>
          <w:sz w:val="32"/>
          <w:szCs w:val="32"/>
          <w:lang w:val="en-US" w:eastAsia="zh-CN" w:bidi="ar-SA"/>
        </w:rPr>
      </w:pPr>
      <w:r>
        <w:rPr>
          <w:rFonts w:hint="eastAsia" w:ascii="宋体" w:hAnsi="宋体" w:eastAsia="宋体" w:cs="宋体"/>
          <w:b/>
          <w:bCs/>
          <w:kern w:val="2"/>
          <w:sz w:val="32"/>
          <w:szCs w:val="32"/>
          <w:lang w:val="en-US" w:eastAsia="zh-CN" w:bidi="ar-SA"/>
        </w:rPr>
        <w:t>诚信交易承诺书</w:t>
      </w:r>
    </w:p>
    <w:p w14:paraId="5D0DA908">
      <w:pPr>
        <w:spacing w:line="360" w:lineRule="auto"/>
        <w:rPr>
          <w:rFonts w:hint="eastAsia" w:hAnsi="宋体" w:cs="宋体"/>
          <w:kern w:val="2"/>
          <w:sz w:val="24"/>
          <w:szCs w:val="24"/>
        </w:rPr>
      </w:pPr>
      <w:r>
        <w:rPr>
          <w:rFonts w:hint="eastAsia" w:hAnsi="宋体" w:cs="宋体"/>
          <w:kern w:val="2"/>
          <w:sz w:val="24"/>
          <w:szCs w:val="24"/>
        </w:rPr>
        <w:t>致：靖远煤业集团刘化化工有限公司</w:t>
      </w:r>
    </w:p>
    <w:p w14:paraId="4BC38075">
      <w:pPr>
        <w:spacing w:line="360" w:lineRule="auto"/>
        <w:rPr>
          <w:rFonts w:hint="eastAsia" w:hAnsi="宋体" w:cs="宋体"/>
          <w:kern w:val="2"/>
          <w:sz w:val="24"/>
          <w:szCs w:val="24"/>
        </w:rPr>
      </w:pPr>
      <w:r>
        <w:rPr>
          <w:rFonts w:hint="eastAsia" w:hAnsi="宋体" w:cs="宋体"/>
          <w:kern w:val="2"/>
          <w:sz w:val="24"/>
          <w:szCs w:val="24"/>
        </w:rPr>
        <w:t>我公司申请成为靖远煤业集团刘化化工有限公司（以下简称“贵公司”）的合格供应商，为维护商业活动中的公平竞争秩序，我公司将在与贵公司的业务交往活动中恪守诚信、廉洁、自律的行为准则，并郑重承诺如下：</w:t>
      </w:r>
    </w:p>
    <w:p w14:paraId="18E34474">
      <w:pPr>
        <w:spacing w:line="360" w:lineRule="auto"/>
        <w:rPr>
          <w:rFonts w:hint="eastAsia" w:hAnsi="宋体" w:cs="宋体"/>
          <w:kern w:val="2"/>
          <w:sz w:val="24"/>
          <w:szCs w:val="24"/>
        </w:rPr>
      </w:pPr>
      <w:r>
        <w:rPr>
          <w:rFonts w:hint="eastAsia" w:hAnsi="宋体" w:cs="宋体"/>
          <w:kern w:val="2"/>
          <w:sz w:val="24"/>
          <w:szCs w:val="24"/>
        </w:rPr>
        <w:t>1.我公司保证自觉遵守《中华人民共和国反不正当竞争法》《中华人民共和国招标投标法》《中华人民共和国民法典》等法律法规及相关政策，严格执行贵公司关于供应商管理及物资招标采购的有关规定。</w:t>
      </w:r>
    </w:p>
    <w:p w14:paraId="5A410546">
      <w:pPr>
        <w:spacing w:line="360" w:lineRule="auto"/>
        <w:rPr>
          <w:rFonts w:hint="eastAsia" w:hAnsi="宋体" w:cs="宋体"/>
          <w:kern w:val="2"/>
          <w:sz w:val="24"/>
          <w:szCs w:val="24"/>
        </w:rPr>
      </w:pPr>
      <w:r>
        <w:rPr>
          <w:rFonts w:hint="eastAsia" w:hAnsi="宋体" w:cs="宋体"/>
          <w:kern w:val="2"/>
          <w:sz w:val="24"/>
          <w:szCs w:val="24"/>
        </w:rPr>
        <w:t>2.我公司保证在参加贵公司网上及现场招投标活动过程中不违反商业道德，不扰乱正常竞争秩序，不行贿、不围标、不串标，不泄露贵公司机密信息，不在招投标活动中弄虚作假，报价合理，不高于同行供应价格。</w:t>
      </w:r>
    </w:p>
    <w:p w14:paraId="064A9F2C">
      <w:pPr>
        <w:spacing w:line="360" w:lineRule="auto"/>
        <w:rPr>
          <w:rFonts w:hint="eastAsia" w:hAnsi="宋体" w:cs="宋体"/>
          <w:kern w:val="2"/>
          <w:sz w:val="24"/>
          <w:szCs w:val="24"/>
        </w:rPr>
      </w:pPr>
      <w:r>
        <w:rPr>
          <w:rFonts w:hint="eastAsia" w:hAnsi="宋体" w:cs="宋体"/>
          <w:kern w:val="2"/>
          <w:sz w:val="24"/>
          <w:szCs w:val="24"/>
        </w:rPr>
        <w:t>3.我公司保证严格履行与贵公司签订的书面及电子合同中约定的义务，按期交货，按合同约定保证供货质量。对因我公司原因导致所供的产品存在产权纠纷或侵犯第三方合法权益的，由我公司承担相应的法律责任，与贵公司无关。</w:t>
      </w:r>
    </w:p>
    <w:p w14:paraId="6742673D">
      <w:pPr>
        <w:spacing w:line="360" w:lineRule="auto"/>
        <w:rPr>
          <w:rFonts w:hint="eastAsia" w:hAnsi="宋体" w:cs="宋体"/>
          <w:kern w:val="2"/>
          <w:sz w:val="24"/>
          <w:szCs w:val="24"/>
        </w:rPr>
      </w:pPr>
      <w:r>
        <w:rPr>
          <w:rFonts w:hint="eastAsia" w:hAnsi="宋体" w:cs="宋体"/>
          <w:kern w:val="2"/>
          <w:sz w:val="24"/>
          <w:szCs w:val="24"/>
        </w:rPr>
        <w:t>4.如我公司及所属工作人员违反上述条款规定，一经核实，我方接受贵公司依据有关规定所做出的的包括罚款、取消我公司在一定期限内交易资格等任何形式的处罚，对给贵公司造成损失的，我公司愿意承担赔偿责任。</w:t>
      </w:r>
    </w:p>
    <w:p w14:paraId="5817A0CA">
      <w:pPr>
        <w:spacing w:line="360" w:lineRule="auto"/>
        <w:rPr>
          <w:rFonts w:hint="eastAsia" w:hAnsi="宋体" w:cs="宋体"/>
          <w:kern w:val="2"/>
          <w:sz w:val="24"/>
          <w:szCs w:val="24"/>
        </w:rPr>
      </w:pPr>
      <w:r>
        <w:rPr>
          <w:rFonts w:hint="eastAsia" w:hAnsi="宋体" w:cs="宋体"/>
          <w:kern w:val="2"/>
          <w:sz w:val="24"/>
          <w:szCs w:val="24"/>
        </w:rPr>
        <w:t>5.因我公司供货质量、提供服务不能满足贵公司要求而发生退货、换货所带来的费用和损失，我公司自行承担，如发生产品质量纠纷，我公司愿意承担举证义务，并承担因此而导致的费用。</w:t>
      </w:r>
    </w:p>
    <w:p w14:paraId="50EC3948">
      <w:pPr>
        <w:spacing w:line="360" w:lineRule="auto"/>
        <w:rPr>
          <w:rFonts w:hint="eastAsia" w:hAnsi="宋体" w:cs="宋体"/>
          <w:kern w:val="2"/>
          <w:sz w:val="24"/>
          <w:szCs w:val="24"/>
        </w:rPr>
      </w:pPr>
      <w:r>
        <w:rPr>
          <w:rFonts w:hint="eastAsia" w:hAnsi="宋体" w:cs="宋体"/>
          <w:kern w:val="2"/>
          <w:sz w:val="24"/>
          <w:szCs w:val="24"/>
        </w:rPr>
        <w:t>6.对贵公司在特殊情况下撤销在网上已发出的招标事项，我公司充分理解并无条件接受，自行担负为投标所付出的相关费用。</w:t>
      </w:r>
    </w:p>
    <w:p w14:paraId="0FC37417">
      <w:pPr>
        <w:spacing w:line="360" w:lineRule="auto"/>
        <w:rPr>
          <w:rFonts w:hint="eastAsia" w:hAnsi="宋体" w:cs="宋体"/>
          <w:kern w:val="2"/>
          <w:sz w:val="24"/>
          <w:szCs w:val="24"/>
        </w:rPr>
      </w:pPr>
      <w:r>
        <w:rPr>
          <w:rFonts w:hint="eastAsia" w:hAnsi="宋体" w:cs="宋体"/>
          <w:kern w:val="2"/>
          <w:sz w:val="24"/>
          <w:szCs w:val="24"/>
        </w:rPr>
        <w:t>7.以上承诺效力包括我公司所参与的贵公司的每一次网上及现场招标全过程，并作为我公司每一次中标后所成立的合同的组成部分之一。</w:t>
      </w:r>
    </w:p>
    <w:p w14:paraId="3D4C1FAA">
      <w:pPr>
        <w:spacing w:line="360" w:lineRule="auto"/>
        <w:rPr>
          <w:rFonts w:hint="eastAsia" w:hAnsi="宋体" w:cs="宋体"/>
          <w:kern w:val="2"/>
          <w:sz w:val="24"/>
          <w:szCs w:val="24"/>
        </w:rPr>
      </w:pPr>
      <w:r>
        <w:rPr>
          <w:rFonts w:hint="eastAsia" w:hAnsi="宋体" w:cs="宋体"/>
          <w:kern w:val="2"/>
          <w:sz w:val="24"/>
          <w:szCs w:val="24"/>
        </w:rPr>
        <w:t xml:space="preserve">  供应商（盖章）：</w:t>
      </w:r>
    </w:p>
    <w:p w14:paraId="59EFC212">
      <w:pPr>
        <w:spacing w:line="360" w:lineRule="auto"/>
        <w:rPr>
          <w:rFonts w:hint="eastAsia" w:hAnsi="宋体" w:cs="宋体"/>
          <w:kern w:val="2"/>
          <w:sz w:val="24"/>
          <w:szCs w:val="24"/>
        </w:rPr>
      </w:pPr>
      <w:r>
        <w:rPr>
          <w:rFonts w:hint="eastAsia" w:hAnsi="宋体" w:cs="宋体"/>
          <w:kern w:val="2"/>
          <w:sz w:val="24"/>
          <w:szCs w:val="24"/>
        </w:rPr>
        <w:t>法人代表（或授权委托人）：</w:t>
      </w:r>
    </w:p>
    <w:p w14:paraId="090E20E6">
      <w:pPr>
        <w:spacing w:line="360" w:lineRule="auto"/>
        <w:jc w:val="left"/>
        <w:rPr>
          <w:rFonts w:hint="eastAsia" w:hAnsi="宋体" w:cs="宋体"/>
          <w:kern w:val="2"/>
          <w:sz w:val="24"/>
          <w:szCs w:val="24"/>
        </w:rPr>
      </w:pPr>
      <w:r>
        <w:rPr>
          <w:rFonts w:hint="eastAsia" w:hAnsi="宋体" w:cs="宋体"/>
          <w:kern w:val="2"/>
          <w:sz w:val="24"/>
          <w:szCs w:val="24"/>
        </w:rPr>
        <w:t>日  期：  年  月  日</w:t>
      </w:r>
    </w:p>
    <w:p w14:paraId="52A72B4D">
      <w:pPr>
        <w:spacing w:line="360" w:lineRule="auto"/>
        <w:rPr>
          <w:rFonts w:hint="eastAsia" w:hAnsi="宋体" w:cs="宋体"/>
          <w:kern w:val="2"/>
          <w:sz w:val="24"/>
          <w:szCs w:val="24"/>
        </w:rPr>
      </w:pPr>
    </w:p>
    <w:p w14:paraId="1DF71411">
      <w:pPr>
        <w:rPr>
          <w:rFonts w:hint="eastAsia" w:ascii="仿宋_GB2312" w:hAnsi="仿宋_GB2312" w:eastAsia="仿宋_GB2312" w:cs="仿宋_GB2312"/>
          <w:snapToGrid w:val="0"/>
          <w:color w:val="000000"/>
          <w:kern w:val="0"/>
          <w:sz w:val="28"/>
          <w:szCs w:val="28"/>
          <w:highlight w:val="none"/>
          <w:lang w:val="en-US" w:eastAsia="zh-CN" w:bidi="ar-SA"/>
        </w:rPr>
      </w:pPr>
      <w:r>
        <w:rPr>
          <w:rFonts w:hint="eastAsia" w:ascii="宋体" w:hAnsi="宋体" w:eastAsia="宋体" w:cs="宋体"/>
          <w:sz w:val="28"/>
          <w:szCs w:val="28"/>
          <w:highlight w:val="none"/>
          <w:lang w:val="en-US" w:eastAsia="zh-CN"/>
        </w:rPr>
        <w:t>（</w:t>
      </w:r>
      <w:r>
        <w:rPr>
          <w:rFonts w:hint="eastAsia" w:ascii="仿宋_GB2312" w:hAnsi="仿宋_GB2312" w:eastAsia="仿宋_GB2312" w:cs="仿宋_GB2312"/>
          <w:snapToGrid w:val="0"/>
          <w:color w:val="000000"/>
          <w:kern w:val="0"/>
          <w:sz w:val="28"/>
          <w:szCs w:val="28"/>
          <w:highlight w:val="none"/>
          <w:lang w:val="en-US" w:eastAsia="zh-CN" w:bidi="ar-SA"/>
        </w:rPr>
        <w:t>本页无正文，为合同签署页）</w:t>
      </w:r>
    </w:p>
    <w:tbl>
      <w:tblPr>
        <w:tblStyle w:val="11"/>
        <w:tblW w:w="8857" w:type="dxa"/>
        <w:jc w:val="center"/>
        <w:tblLayout w:type="fixed"/>
        <w:tblCellMar>
          <w:top w:w="0" w:type="dxa"/>
          <w:left w:w="108" w:type="dxa"/>
          <w:bottom w:w="0" w:type="dxa"/>
          <w:right w:w="108" w:type="dxa"/>
        </w:tblCellMar>
      </w:tblPr>
      <w:tblGrid>
        <w:gridCol w:w="4296"/>
        <w:gridCol w:w="4561"/>
      </w:tblGrid>
      <w:tr w14:paraId="78756A74">
        <w:tblPrEx>
          <w:tblCellMar>
            <w:top w:w="0" w:type="dxa"/>
            <w:left w:w="108" w:type="dxa"/>
            <w:bottom w:w="0" w:type="dxa"/>
            <w:right w:w="108" w:type="dxa"/>
          </w:tblCellMar>
        </w:tblPrEx>
        <w:trPr>
          <w:trHeight w:val="850" w:hRule="atLeast"/>
          <w:jc w:val="center"/>
        </w:trPr>
        <w:tc>
          <w:tcPr>
            <w:tcW w:w="4296" w:type="dxa"/>
            <w:noWrap w:val="0"/>
            <w:vAlign w:val="center"/>
          </w:tcPr>
          <w:p w14:paraId="4B13CDAE">
            <w:pPr>
              <w:pStyle w:val="5"/>
              <w:keepNext w:val="0"/>
              <w:keepLines w:val="0"/>
              <w:pageBreakBefore w:val="0"/>
              <w:widowControl w:val="0"/>
              <w:kinsoku/>
              <w:wordWrap/>
              <w:overflowPunct/>
              <w:topLinePunct w:val="0"/>
              <w:autoSpaceDE/>
              <w:autoSpaceDN/>
              <w:bidi w:val="0"/>
              <w:adjustRightInd/>
              <w:snapToGrid w:val="0"/>
              <w:spacing w:line="360" w:lineRule="auto"/>
              <w:ind w:left="420" w:hanging="560" w:hangingChars="200"/>
              <w:jc w:val="left"/>
              <w:textAlignment w:val="auto"/>
              <w:rPr>
                <w:rFonts w:hint="eastAsia" w:ascii="仿宋_GB2312" w:hAnsi="仿宋_GB2312" w:eastAsia="仿宋_GB2312" w:cs="仿宋_GB2312"/>
                <w:snapToGrid w:val="0"/>
                <w:color w:val="000000"/>
                <w:kern w:val="0"/>
                <w:sz w:val="28"/>
                <w:szCs w:val="28"/>
                <w:highlight w:val="none"/>
                <w:lang w:val="en-US" w:eastAsia="zh-CN" w:bidi="ar-SA"/>
              </w:rPr>
            </w:pPr>
            <w:r>
              <w:rPr>
                <w:rFonts w:hint="eastAsia" w:ascii="仿宋_GB2312" w:hAnsi="仿宋_GB2312" w:eastAsia="仿宋_GB2312" w:cs="仿宋_GB2312"/>
                <w:snapToGrid w:val="0"/>
                <w:color w:val="000000"/>
                <w:kern w:val="0"/>
                <w:sz w:val="28"/>
                <w:szCs w:val="28"/>
                <w:highlight w:val="none"/>
                <w:lang w:val="en-US" w:eastAsia="zh-CN" w:bidi="ar-SA"/>
              </w:rPr>
              <w:t>甲方：靖远煤业集团刘化化工有限公司</w:t>
            </w:r>
          </w:p>
        </w:tc>
        <w:tc>
          <w:tcPr>
            <w:tcW w:w="4561" w:type="dxa"/>
            <w:noWrap w:val="0"/>
            <w:vAlign w:val="center"/>
          </w:tcPr>
          <w:p w14:paraId="2060E99E">
            <w:pPr>
              <w:spacing w:line="480" w:lineRule="exact"/>
              <w:rPr>
                <w:rFonts w:hint="eastAsia"/>
                <w:szCs w:val="21"/>
              </w:rPr>
            </w:pPr>
            <w:r>
              <w:rPr>
                <w:rFonts w:hint="eastAsia" w:ascii="仿宋_GB2312" w:hAnsi="仿宋_GB2312" w:eastAsia="仿宋_GB2312" w:cs="仿宋_GB2312"/>
                <w:snapToGrid w:val="0"/>
                <w:color w:val="000000"/>
                <w:kern w:val="0"/>
                <w:sz w:val="28"/>
                <w:szCs w:val="28"/>
                <w:highlight w:val="none"/>
                <w:lang w:val="en-US" w:eastAsia="zh-CN" w:bidi="ar-SA"/>
              </w:rPr>
              <w:t xml:space="preserve">乙方： </w:t>
            </w:r>
          </w:p>
          <w:p w14:paraId="481F3012">
            <w:pPr>
              <w:pStyle w:val="5"/>
              <w:keepNext w:val="0"/>
              <w:keepLines w:val="0"/>
              <w:pageBreakBefore w:val="0"/>
              <w:widowControl w:val="0"/>
              <w:kinsoku/>
              <w:wordWrap/>
              <w:overflowPunct/>
              <w:topLinePunct w:val="0"/>
              <w:autoSpaceDE/>
              <w:autoSpaceDN/>
              <w:bidi w:val="0"/>
              <w:adjustRightInd/>
              <w:snapToGrid w:val="0"/>
              <w:spacing w:line="360" w:lineRule="auto"/>
              <w:ind w:left="420" w:hanging="560" w:hangingChars="200"/>
              <w:jc w:val="left"/>
              <w:textAlignment w:val="auto"/>
              <w:rPr>
                <w:rFonts w:hint="eastAsia" w:ascii="仿宋_GB2312" w:hAnsi="仿宋_GB2312" w:eastAsia="仿宋_GB2312" w:cs="仿宋_GB2312"/>
                <w:snapToGrid w:val="0"/>
                <w:color w:val="000000"/>
                <w:kern w:val="0"/>
                <w:sz w:val="28"/>
                <w:szCs w:val="28"/>
                <w:highlight w:val="none"/>
                <w:lang w:val="en-US" w:eastAsia="zh-CN" w:bidi="ar-SA"/>
              </w:rPr>
            </w:pPr>
          </w:p>
        </w:tc>
      </w:tr>
      <w:tr w14:paraId="73BDBDBD">
        <w:tblPrEx>
          <w:tblCellMar>
            <w:top w:w="0" w:type="dxa"/>
            <w:left w:w="108" w:type="dxa"/>
            <w:bottom w:w="0" w:type="dxa"/>
            <w:right w:w="108" w:type="dxa"/>
          </w:tblCellMar>
        </w:tblPrEx>
        <w:trPr>
          <w:trHeight w:val="850" w:hRule="atLeast"/>
          <w:jc w:val="center"/>
        </w:trPr>
        <w:tc>
          <w:tcPr>
            <w:tcW w:w="4296" w:type="dxa"/>
            <w:noWrap w:val="0"/>
            <w:vAlign w:val="center"/>
          </w:tcPr>
          <w:p w14:paraId="6A4B5700">
            <w:pPr>
              <w:pStyle w:val="5"/>
              <w:keepNext w:val="0"/>
              <w:keepLines w:val="0"/>
              <w:pageBreakBefore w:val="0"/>
              <w:widowControl w:val="0"/>
              <w:kinsoku/>
              <w:wordWrap/>
              <w:overflowPunct/>
              <w:topLinePunct w:val="0"/>
              <w:autoSpaceDE/>
              <w:autoSpaceDN/>
              <w:bidi w:val="0"/>
              <w:adjustRightInd/>
              <w:snapToGrid w:val="0"/>
              <w:spacing w:line="360" w:lineRule="auto"/>
              <w:ind w:left="420" w:hanging="560" w:hangingChars="200"/>
              <w:jc w:val="left"/>
              <w:textAlignment w:val="auto"/>
              <w:rPr>
                <w:rFonts w:hint="eastAsia" w:ascii="仿宋_GB2312" w:hAnsi="仿宋_GB2312" w:eastAsia="仿宋_GB2312" w:cs="仿宋_GB2312"/>
                <w:snapToGrid w:val="0"/>
                <w:color w:val="000000"/>
                <w:kern w:val="0"/>
                <w:sz w:val="28"/>
                <w:szCs w:val="28"/>
                <w:highlight w:val="none"/>
                <w:lang w:val="en-US" w:eastAsia="zh-CN" w:bidi="ar-SA"/>
              </w:rPr>
            </w:pPr>
            <w:r>
              <w:rPr>
                <w:rFonts w:hint="eastAsia" w:ascii="仿宋_GB2312" w:hAnsi="仿宋_GB2312" w:eastAsia="仿宋_GB2312" w:cs="仿宋_GB2312"/>
                <w:snapToGrid w:val="0"/>
                <w:color w:val="000000"/>
                <w:kern w:val="0"/>
                <w:sz w:val="28"/>
                <w:szCs w:val="28"/>
                <w:highlight w:val="none"/>
                <w:lang w:val="en-US" w:eastAsia="zh-CN" w:bidi="ar-SA"/>
              </w:rPr>
              <w:t xml:space="preserve">              （盖章）</w:t>
            </w:r>
          </w:p>
        </w:tc>
        <w:tc>
          <w:tcPr>
            <w:tcW w:w="4561" w:type="dxa"/>
            <w:noWrap w:val="0"/>
            <w:vAlign w:val="center"/>
          </w:tcPr>
          <w:p w14:paraId="25A1F9C8">
            <w:pPr>
              <w:pStyle w:val="5"/>
              <w:keepNext w:val="0"/>
              <w:keepLines w:val="0"/>
              <w:pageBreakBefore w:val="0"/>
              <w:widowControl w:val="0"/>
              <w:kinsoku/>
              <w:wordWrap/>
              <w:overflowPunct/>
              <w:topLinePunct w:val="0"/>
              <w:autoSpaceDE/>
              <w:autoSpaceDN/>
              <w:bidi w:val="0"/>
              <w:adjustRightInd/>
              <w:snapToGrid w:val="0"/>
              <w:spacing w:line="360" w:lineRule="auto"/>
              <w:ind w:left="420" w:hanging="560" w:hangingChars="200"/>
              <w:jc w:val="left"/>
              <w:textAlignment w:val="auto"/>
              <w:rPr>
                <w:rFonts w:hint="eastAsia" w:ascii="仿宋_GB2312" w:hAnsi="仿宋_GB2312" w:eastAsia="仿宋_GB2312" w:cs="仿宋_GB2312"/>
                <w:snapToGrid w:val="0"/>
                <w:color w:val="000000"/>
                <w:kern w:val="0"/>
                <w:sz w:val="28"/>
                <w:szCs w:val="28"/>
                <w:highlight w:val="none"/>
                <w:lang w:val="en-US" w:eastAsia="zh-CN" w:bidi="ar-SA"/>
              </w:rPr>
            </w:pPr>
            <w:r>
              <w:rPr>
                <w:rFonts w:hint="eastAsia" w:ascii="仿宋_GB2312" w:hAnsi="仿宋_GB2312" w:eastAsia="仿宋_GB2312" w:cs="仿宋_GB2312"/>
                <w:snapToGrid w:val="0"/>
                <w:color w:val="000000"/>
                <w:kern w:val="0"/>
                <w:sz w:val="28"/>
                <w:szCs w:val="28"/>
                <w:highlight w:val="none"/>
                <w:lang w:val="en-US" w:eastAsia="zh-CN" w:bidi="ar-SA"/>
              </w:rPr>
              <w:t xml:space="preserve">             （盖章）</w:t>
            </w:r>
          </w:p>
        </w:tc>
      </w:tr>
      <w:tr w14:paraId="2B526CE6">
        <w:tblPrEx>
          <w:tblCellMar>
            <w:top w:w="0" w:type="dxa"/>
            <w:left w:w="108" w:type="dxa"/>
            <w:bottom w:w="0" w:type="dxa"/>
            <w:right w:w="108" w:type="dxa"/>
          </w:tblCellMar>
        </w:tblPrEx>
        <w:trPr>
          <w:trHeight w:val="850" w:hRule="atLeast"/>
          <w:jc w:val="center"/>
        </w:trPr>
        <w:tc>
          <w:tcPr>
            <w:tcW w:w="4296" w:type="dxa"/>
            <w:noWrap w:val="0"/>
            <w:vAlign w:val="center"/>
          </w:tcPr>
          <w:p w14:paraId="2EFC4948">
            <w:pPr>
              <w:pStyle w:val="5"/>
              <w:keepNext w:val="0"/>
              <w:keepLines w:val="0"/>
              <w:pageBreakBefore w:val="0"/>
              <w:widowControl w:val="0"/>
              <w:kinsoku/>
              <w:wordWrap/>
              <w:overflowPunct/>
              <w:topLinePunct w:val="0"/>
              <w:autoSpaceDE/>
              <w:autoSpaceDN/>
              <w:bidi w:val="0"/>
              <w:adjustRightInd/>
              <w:snapToGrid w:val="0"/>
              <w:spacing w:line="360" w:lineRule="auto"/>
              <w:ind w:left="420" w:hanging="560" w:hangingChars="200"/>
              <w:jc w:val="left"/>
              <w:textAlignment w:val="auto"/>
              <w:rPr>
                <w:rFonts w:hint="eastAsia" w:ascii="仿宋_GB2312" w:hAnsi="仿宋_GB2312" w:eastAsia="仿宋_GB2312" w:cs="仿宋_GB2312"/>
                <w:snapToGrid w:val="0"/>
                <w:color w:val="000000"/>
                <w:kern w:val="0"/>
                <w:sz w:val="28"/>
                <w:szCs w:val="28"/>
                <w:highlight w:val="none"/>
                <w:lang w:val="en-US" w:eastAsia="zh-CN" w:bidi="ar-SA"/>
              </w:rPr>
            </w:pPr>
            <w:r>
              <w:rPr>
                <w:rFonts w:hint="eastAsia" w:ascii="仿宋_GB2312" w:hAnsi="仿宋_GB2312" w:eastAsia="仿宋_GB2312" w:cs="仿宋_GB2312"/>
                <w:snapToGrid w:val="0"/>
                <w:color w:val="000000"/>
                <w:kern w:val="0"/>
                <w:sz w:val="28"/>
                <w:szCs w:val="28"/>
                <w:highlight w:val="none"/>
                <w:lang w:val="en-US" w:eastAsia="zh-CN" w:bidi="ar-SA"/>
              </w:rPr>
              <w:t>法定代表人</w:t>
            </w:r>
          </w:p>
          <w:p w14:paraId="63573048">
            <w:pPr>
              <w:pStyle w:val="5"/>
              <w:keepNext w:val="0"/>
              <w:keepLines w:val="0"/>
              <w:pageBreakBefore w:val="0"/>
              <w:widowControl w:val="0"/>
              <w:kinsoku/>
              <w:wordWrap/>
              <w:overflowPunct/>
              <w:topLinePunct w:val="0"/>
              <w:autoSpaceDE/>
              <w:autoSpaceDN/>
              <w:bidi w:val="0"/>
              <w:adjustRightInd/>
              <w:snapToGrid w:val="0"/>
              <w:spacing w:line="360" w:lineRule="auto"/>
              <w:ind w:left="420" w:hanging="560" w:hangingChars="200"/>
              <w:jc w:val="left"/>
              <w:textAlignment w:val="auto"/>
              <w:rPr>
                <w:rFonts w:hint="eastAsia" w:ascii="仿宋_GB2312" w:hAnsi="仿宋_GB2312" w:eastAsia="仿宋_GB2312" w:cs="仿宋_GB2312"/>
                <w:snapToGrid w:val="0"/>
                <w:color w:val="000000"/>
                <w:kern w:val="0"/>
                <w:sz w:val="28"/>
                <w:szCs w:val="28"/>
                <w:highlight w:val="none"/>
                <w:lang w:val="en-US" w:eastAsia="zh-CN" w:bidi="ar-SA"/>
              </w:rPr>
            </w:pPr>
            <w:r>
              <w:rPr>
                <w:rFonts w:hint="eastAsia" w:ascii="仿宋_GB2312" w:hAnsi="仿宋_GB2312" w:eastAsia="仿宋_GB2312" w:cs="仿宋_GB2312"/>
                <w:snapToGrid w:val="0"/>
                <w:color w:val="000000"/>
                <w:kern w:val="0"/>
                <w:sz w:val="28"/>
                <w:szCs w:val="28"/>
                <w:highlight w:val="none"/>
                <w:lang w:val="en-US" w:eastAsia="zh-CN" w:bidi="ar-SA"/>
              </w:rPr>
              <w:t xml:space="preserve">或委托代理人：        </w:t>
            </w:r>
          </w:p>
        </w:tc>
        <w:tc>
          <w:tcPr>
            <w:tcW w:w="4561" w:type="dxa"/>
            <w:noWrap w:val="0"/>
            <w:vAlign w:val="center"/>
          </w:tcPr>
          <w:p w14:paraId="3AFE0A95">
            <w:pPr>
              <w:pStyle w:val="5"/>
              <w:keepNext w:val="0"/>
              <w:keepLines w:val="0"/>
              <w:pageBreakBefore w:val="0"/>
              <w:widowControl w:val="0"/>
              <w:kinsoku/>
              <w:wordWrap/>
              <w:overflowPunct/>
              <w:topLinePunct w:val="0"/>
              <w:autoSpaceDE/>
              <w:autoSpaceDN/>
              <w:bidi w:val="0"/>
              <w:adjustRightInd/>
              <w:snapToGrid w:val="0"/>
              <w:spacing w:line="360" w:lineRule="auto"/>
              <w:ind w:left="420" w:hanging="560" w:hangingChars="200"/>
              <w:jc w:val="left"/>
              <w:textAlignment w:val="auto"/>
              <w:rPr>
                <w:rFonts w:hint="eastAsia" w:ascii="仿宋_GB2312" w:hAnsi="仿宋_GB2312" w:eastAsia="仿宋_GB2312" w:cs="仿宋_GB2312"/>
                <w:snapToGrid w:val="0"/>
                <w:color w:val="000000"/>
                <w:kern w:val="0"/>
                <w:sz w:val="28"/>
                <w:szCs w:val="28"/>
                <w:highlight w:val="none"/>
                <w:lang w:val="en-US" w:eastAsia="zh-CN" w:bidi="ar-SA"/>
              </w:rPr>
            </w:pPr>
            <w:r>
              <w:rPr>
                <w:rFonts w:hint="eastAsia" w:ascii="仿宋_GB2312" w:hAnsi="仿宋_GB2312" w:eastAsia="仿宋_GB2312" w:cs="仿宋_GB2312"/>
                <w:snapToGrid w:val="0"/>
                <w:color w:val="000000"/>
                <w:kern w:val="0"/>
                <w:sz w:val="28"/>
                <w:szCs w:val="28"/>
                <w:highlight w:val="none"/>
                <w:lang w:val="en-US" w:eastAsia="zh-CN" w:bidi="ar-SA"/>
              </w:rPr>
              <w:t>法定代表人</w:t>
            </w:r>
          </w:p>
          <w:p w14:paraId="109D763F">
            <w:pPr>
              <w:pStyle w:val="5"/>
              <w:keepNext w:val="0"/>
              <w:keepLines w:val="0"/>
              <w:pageBreakBefore w:val="0"/>
              <w:widowControl w:val="0"/>
              <w:kinsoku/>
              <w:wordWrap/>
              <w:overflowPunct/>
              <w:topLinePunct w:val="0"/>
              <w:autoSpaceDE/>
              <w:autoSpaceDN/>
              <w:bidi w:val="0"/>
              <w:adjustRightInd/>
              <w:snapToGrid w:val="0"/>
              <w:spacing w:line="360" w:lineRule="auto"/>
              <w:ind w:left="420" w:hanging="560" w:hangingChars="200"/>
              <w:jc w:val="left"/>
              <w:textAlignment w:val="auto"/>
              <w:rPr>
                <w:rFonts w:hint="eastAsia" w:ascii="仿宋_GB2312" w:hAnsi="仿宋_GB2312" w:eastAsia="仿宋_GB2312" w:cs="仿宋_GB2312"/>
                <w:snapToGrid w:val="0"/>
                <w:color w:val="000000"/>
                <w:kern w:val="0"/>
                <w:sz w:val="28"/>
                <w:szCs w:val="28"/>
                <w:highlight w:val="none"/>
                <w:lang w:val="en-US" w:eastAsia="zh-CN" w:bidi="ar-SA"/>
              </w:rPr>
            </w:pPr>
            <w:r>
              <w:rPr>
                <w:rFonts w:hint="eastAsia" w:ascii="仿宋_GB2312" w:hAnsi="仿宋_GB2312" w:eastAsia="仿宋_GB2312" w:cs="仿宋_GB2312"/>
                <w:snapToGrid w:val="0"/>
                <w:color w:val="000000"/>
                <w:kern w:val="0"/>
                <w:sz w:val="28"/>
                <w:szCs w:val="28"/>
                <w:highlight w:val="none"/>
                <w:lang w:val="en-US" w:eastAsia="zh-CN" w:bidi="ar-SA"/>
              </w:rPr>
              <w:t>或委托代理人：</w:t>
            </w:r>
          </w:p>
        </w:tc>
      </w:tr>
      <w:tr w14:paraId="3BDFDD57">
        <w:tblPrEx>
          <w:tblCellMar>
            <w:top w:w="0" w:type="dxa"/>
            <w:left w:w="108" w:type="dxa"/>
            <w:bottom w:w="0" w:type="dxa"/>
            <w:right w:w="108" w:type="dxa"/>
          </w:tblCellMar>
        </w:tblPrEx>
        <w:trPr>
          <w:trHeight w:val="850" w:hRule="atLeast"/>
          <w:jc w:val="center"/>
        </w:trPr>
        <w:tc>
          <w:tcPr>
            <w:tcW w:w="4296" w:type="dxa"/>
            <w:noWrap w:val="0"/>
            <w:vAlign w:val="center"/>
          </w:tcPr>
          <w:p w14:paraId="44A7B62A">
            <w:pPr>
              <w:pStyle w:val="5"/>
              <w:keepNext w:val="0"/>
              <w:keepLines w:val="0"/>
              <w:pageBreakBefore w:val="0"/>
              <w:widowControl w:val="0"/>
              <w:kinsoku/>
              <w:wordWrap/>
              <w:overflowPunct/>
              <w:topLinePunct w:val="0"/>
              <w:autoSpaceDE/>
              <w:autoSpaceDN/>
              <w:bidi w:val="0"/>
              <w:adjustRightInd/>
              <w:snapToGrid w:val="0"/>
              <w:spacing w:line="360" w:lineRule="auto"/>
              <w:ind w:left="420" w:hanging="560" w:hangingChars="200"/>
              <w:jc w:val="left"/>
              <w:textAlignment w:val="auto"/>
              <w:rPr>
                <w:rFonts w:hint="eastAsia" w:ascii="仿宋_GB2312" w:hAnsi="仿宋_GB2312" w:eastAsia="仿宋_GB2312" w:cs="仿宋_GB2312"/>
                <w:snapToGrid w:val="0"/>
                <w:color w:val="000000"/>
                <w:kern w:val="0"/>
                <w:sz w:val="28"/>
                <w:szCs w:val="28"/>
                <w:highlight w:val="none"/>
                <w:lang w:val="en-US" w:eastAsia="zh-CN" w:bidi="ar-SA"/>
              </w:rPr>
            </w:pPr>
            <w:r>
              <w:rPr>
                <w:rFonts w:hint="eastAsia" w:ascii="仿宋_GB2312" w:hAnsi="仿宋_GB2312" w:eastAsia="仿宋_GB2312" w:cs="仿宋_GB2312"/>
                <w:snapToGrid w:val="0"/>
                <w:color w:val="000000"/>
                <w:kern w:val="0"/>
                <w:sz w:val="28"/>
                <w:szCs w:val="28"/>
                <w:highlight w:val="none"/>
                <w:lang w:val="en-US" w:eastAsia="zh-CN" w:bidi="ar-SA"/>
              </w:rPr>
              <w:t xml:space="preserve">联系人： </w:t>
            </w:r>
          </w:p>
        </w:tc>
        <w:tc>
          <w:tcPr>
            <w:tcW w:w="4561" w:type="dxa"/>
            <w:noWrap w:val="0"/>
            <w:vAlign w:val="center"/>
          </w:tcPr>
          <w:p w14:paraId="78F2E182">
            <w:pPr>
              <w:pStyle w:val="5"/>
              <w:keepNext w:val="0"/>
              <w:keepLines w:val="0"/>
              <w:pageBreakBefore w:val="0"/>
              <w:widowControl w:val="0"/>
              <w:kinsoku/>
              <w:wordWrap/>
              <w:overflowPunct/>
              <w:topLinePunct w:val="0"/>
              <w:autoSpaceDE/>
              <w:autoSpaceDN/>
              <w:bidi w:val="0"/>
              <w:adjustRightInd/>
              <w:snapToGrid w:val="0"/>
              <w:spacing w:line="360" w:lineRule="auto"/>
              <w:ind w:left="420" w:hanging="560" w:hangingChars="200"/>
              <w:jc w:val="left"/>
              <w:textAlignment w:val="auto"/>
              <w:rPr>
                <w:rFonts w:hint="eastAsia" w:ascii="仿宋_GB2312" w:hAnsi="仿宋_GB2312" w:eastAsia="仿宋_GB2312" w:cs="仿宋_GB2312"/>
                <w:snapToGrid w:val="0"/>
                <w:color w:val="000000"/>
                <w:kern w:val="0"/>
                <w:sz w:val="28"/>
                <w:szCs w:val="28"/>
                <w:highlight w:val="none"/>
                <w:lang w:val="en-US" w:eastAsia="zh-CN" w:bidi="ar-SA"/>
              </w:rPr>
            </w:pPr>
            <w:r>
              <w:rPr>
                <w:rFonts w:hint="eastAsia" w:ascii="仿宋_GB2312" w:hAnsi="仿宋_GB2312" w:eastAsia="仿宋_GB2312" w:cs="仿宋_GB2312"/>
                <w:snapToGrid w:val="0"/>
                <w:color w:val="000000"/>
                <w:kern w:val="0"/>
                <w:sz w:val="28"/>
                <w:szCs w:val="28"/>
                <w:highlight w:val="none"/>
                <w:lang w:val="en-US" w:eastAsia="zh-CN" w:bidi="ar-SA"/>
              </w:rPr>
              <w:t>联系人：</w:t>
            </w:r>
          </w:p>
        </w:tc>
      </w:tr>
      <w:tr w14:paraId="768BD324">
        <w:tblPrEx>
          <w:tblCellMar>
            <w:top w:w="0" w:type="dxa"/>
            <w:left w:w="108" w:type="dxa"/>
            <w:bottom w:w="0" w:type="dxa"/>
            <w:right w:w="108" w:type="dxa"/>
          </w:tblCellMar>
        </w:tblPrEx>
        <w:trPr>
          <w:trHeight w:val="850" w:hRule="atLeast"/>
          <w:jc w:val="center"/>
        </w:trPr>
        <w:tc>
          <w:tcPr>
            <w:tcW w:w="4296" w:type="dxa"/>
            <w:noWrap w:val="0"/>
            <w:vAlign w:val="center"/>
          </w:tcPr>
          <w:p w14:paraId="69AADEF5">
            <w:pPr>
              <w:pStyle w:val="5"/>
              <w:keepNext w:val="0"/>
              <w:keepLines w:val="0"/>
              <w:pageBreakBefore w:val="0"/>
              <w:widowControl w:val="0"/>
              <w:kinsoku/>
              <w:wordWrap/>
              <w:overflowPunct/>
              <w:topLinePunct w:val="0"/>
              <w:autoSpaceDE/>
              <w:autoSpaceDN/>
              <w:bidi w:val="0"/>
              <w:adjustRightInd/>
              <w:snapToGrid w:val="0"/>
              <w:spacing w:line="360" w:lineRule="auto"/>
              <w:ind w:left="420" w:hanging="560" w:hangingChars="200"/>
              <w:jc w:val="both"/>
              <w:textAlignment w:val="auto"/>
              <w:rPr>
                <w:rFonts w:hint="eastAsia" w:ascii="仿宋_GB2312" w:hAnsi="仿宋_GB2312" w:eastAsia="仿宋_GB2312" w:cs="仿宋_GB2312"/>
                <w:snapToGrid w:val="0"/>
                <w:color w:val="000000"/>
                <w:kern w:val="0"/>
                <w:sz w:val="28"/>
                <w:szCs w:val="28"/>
                <w:highlight w:val="none"/>
                <w:lang w:val="en-US" w:eastAsia="zh-CN" w:bidi="ar-SA"/>
              </w:rPr>
            </w:pPr>
            <w:r>
              <w:rPr>
                <w:rFonts w:hint="eastAsia" w:ascii="仿宋_GB2312" w:hAnsi="仿宋_GB2312" w:eastAsia="仿宋_GB2312" w:cs="仿宋_GB2312"/>
                <w:snapToGrid w:val="0"/>
                <w:color w:val="000000"/>
                <w:kern w:val="0"/>
                <w:sz w:val="28"/>
                <w:szCs w:val="28"/>
                <w:highlight w:val="none"/>
                <w:lang w:val="en-US" w:eastAsia="zh-CN" w:bidi="ar-SA"/>
              </w:rPr>
              <w:t>地址：</w:t>
            </w:r>
            <w:r>
              <w:rPr>
                <w:rFonts w:hint="default" w:ascii="仿宋_GB2312" w:hAnsi="仿宋_GB2312" w:eastAsia="仿宋_GB2312" w:cs="仿宋_GB2312"/>
                <w:snapToGrid w:val="0"/>
                <w:color w:val="000000"/>
                <w:kern w:val="0"/>
                <w:sz w:val="28"/>
                <w:szCs w:val="28"/>
                <w:highlight w:val="none"/>
                <w:lang w:val="en-US" w:eastAsia="zh-CN" w:bidi="ar-SA"/>
              </w:rPr>
              <w:t>甘肃省白银市白银区王岘镇东星村苏家墩201号</w:t>
            </w:r>
          </w:p>
        </w:tc>
        <w:tc>
          <w:tcPr>
            <w:tcW w:w="4561" w:type="dxa"/>
            <w:noWrap w:val="0"/>
            <w:vAlign w:val="top"/>
          </w:tcPr>
          <w:p w14:paraId="4C89380A">
            <w:pPr>
              <w:pStyle w:val="5"/>
              <w:keepNext w:val="0"/>
              <w:keepLines w:val="0"/>
              <w:pageBreakBefore w:val="0"/>
              <w:widowControl w:val="0"/>
              <w:kinsoku/>
              <w:wordWrap/>
              <w:overflowPunct/>
              <w:topLinePunct w:val="0"/>
              <w:autoSpaceDE/>
              <w:autoSpaceDN/>
              <w:bidi w:val="0"/>
              <w:adjustRightInd/>
              <w:snapToGrid w:val="0"/>
              <w:spacing w:line="360" w:lineRule="auto"/>
              <w:ind w:left="420" w:hanging="560" w:hangingChars="200"/>
              <w:jc w:val="left"/>
              <w:textAlignment w:val="auto"/>
              <w:rPr>
                <w:rFonts w:hint="eastAsia" w:ascii="仿宋_GB2312" w:hAnsi="仿宋_GB2312" w:eastAsia="仿宋_GB2312" w:cs="仿宋_GB2312"/>
                <w:snapToGrid w:val="0"/>
                <w:color w:val="000000"/>
                <w:kern w:val="0"/>
                <w:sz w:val="28"/>
                <w:szCs w:val="28"/>
                <w:highlight w:val="none"/>
                <w:lang w:val="en-US" w:eastAsia="zh-CN" w:bidi="ar-SA"/>
              </w:rPr>
            </w:pPr>
            <w:r>
              <w:rPr>
                <w:rFonts w:hint="eastAsia" w:ascii="仿宋_GB2312" w:hAnsi="仿宋_GB2312" w:eastAsia="仿宋_GB2312" w:cs="仿宋_GB2312"/>
                <w:snapToGrid w:val="0"/>
                <w:color w:val="000000"/>
                <w:kern w:val="0"/>
                <w:sz w:val="28"/>
                <w:szCs w:val="28"/>
                <w:highlight w:val="none"/>
                <w:lang w:val="en-US" w:eastAsia="zh-CN" w:bidi="ar-SA"/>
              </w:rPr>
              <w:t>地址：</w:t>
            </w:r>
          </w:p>
        </w:tc>
      </w:tr>
      <w:tr w14:paraId="257C6BD4">
        <w:tblPrEx>
          <w:tblCellMar>
            <w:top w:w="0" w:type="dxa"/>
            <w:left w:w="108" w:type="dxa"/>
            <w:bottom w:w="0" w:type="dxa"/>
            <w:right w:w="108" w:type="dxa"/>
          </w:tblCellMar>
        </w:tblPrEx>
        <w:trPr>
          <w:trHeight w:val="850" w:hRule="atLeast"/>
          <w:jc w:val="center"/>
        </w:trPr>
        <w:tc>
          <w:tcPr>
            <w:tcW w:w="4296" w:type="dxa"/>
            <w:noWrap w:val="0"/>
            <w:vAlign w:val="center"/>
          </w:tcPr>
          <w:p w14:paraId="32470914">
            <w:pPr>
              <w:pStyle w:val="5"/>
              <w:keepNext w:val="0"/>
              <w:keepLines w:val="0"/>
              <w:pageBreakBefore w:val="0"/>
              <w:widowControl w:val="0"/>
              <w:kinsoku/>
              <w:wordWrap/>
              <w:overflowPunct/>
              <w:topLinePunct w:val="0"/>
              <w:autoSpaceDE/>
              <w:autoSpaceDN/>
              <w:bidi w:val="0"/>
              <w:adjustRightInd/>
              <w:snapToGrid w:val="0"/>
              <w:spacing w:line="360" w:lineRule="auto"/>
              <w:ind w:left="420" w:hanging="560" w:hangingChars="200"/>
              <w:jc w:val="both"/>
              <w:textAlignment w:val="auto"/>
              <w:rPr>
                <w:rFonts w:hint="eastAsia" w:ascii="仿宋_GB2312" w:hAnsi="仿宋_GB2312" w:eastAsia="仿宋_GB2312" w:cs="仿宋_GB2312"/>
                <w:snapToGrid w:val="0"/>
                <w:color w:val="000000"/>
                <w:kern w:val="0"/>
                <w:sz w:val="28"/>
                <w:szCs w:val="28"/>
                <w:highlight w:val="none"/>
                <w:lang w:val="en-US" w:eastAsia="zh-CN" w:bidi="ar-SA"/>
              </w:rPr>
            </w:pPr>
            <w:r>
              <w:rPr>
                <w:rFonts w:hint="eastAsia" w:ascii="仿宋_GB2312" w:hAnsi="仿宋_GB2312" w:eastAsia="仿宋_GB2312" w:cs="仿宋_GB2312"/>
                <w:snapToGrid w:val="0"/>
                <w:color w:val="000000"/>
                <w:kern w:val="0"/>
                <w:sz w:val="28"/>
                <w:szCs w:val="28"/>
                <w:highlight w:val="none"/>
                <w:lang w:val="en-US" w:eastAsia="zh-CN" w:bidi="ar-SA"/>
              </w:rPr>
              <w:t>邮政编码：730900</w:t>
            </w:r>
          </w:p>
        </w:tc>
        <w:tc>
          <w:tcPr>
            <w:tcW w:w="4561" w:type="dxa"/>
            <w:noWrap w:val="0"/>
            <w:vAlign w:val="center"/>
          </w:tcPr>
          <w:p w14:paraId="5B0BAFA8">
            <w:pPr>
              <w:pStyle w:val="5"/>
              <w:keepNext w:val="0"/>
              <w:keepLines w:val="0"/>
              <w:pageBreakBefore w:val="0"/>
              <w:widowControl w:val="0"/>
              <w:kinsoku/>
              <w:wordWrap/>
              <w:overflowPunct/>
              <w:topLinePunct w:val="0"/>
              <w:autoSpaceDE/>
              <w:autoSpaceDN/>
              <w:bidi w:val="0"/>
              <w:adjustRightInd/>
              <w:snapToGrid w:val="0"/>
              <w:spacing w:line="360" w:lineRule="auto"/>
              <w:ind w:left="420" w:hanging="560" w:hangingChars="200"/>
              <w:jc w:val="left"/>
              <w:textAlignment w:val="auto"/>
              <w:rPr>
                <w:rFonts w:hint="default" w:ascii="仿宋_GB2312" w:hAnsi="仿宋_GB2312" w:eastAsia="仿宋_GB2312" w:cs="仿宋_GB2312"/>
                <w:snapToGrid w:val="0"/>
                <w:color w:val="000000"/>
                <w:kern w:val="0"/>
                <w:sz w:val="28"/>
                <w:szCs w:val="28"/>
                <w:highlight w:val="none"/>
                <w:lang w:val="en-US" w:eastAsia="zh-CN" w:bidi="ar-SA"/>
              </w:rPr>
            </w:pPr>
            <w:r>
              <w:rPr>
                <w:rFonts w:hint="eastAsia" w:ascii="仿宋_GB2312" w:hAnsi="仿宋_GB2312" w:eastAsia="仿宋_GB2312" w:cs="仿宋_GB2312"/>
                <w:snapToGrid w:val="0"/>
                <w:color w:val="000000"/>
                <w:kern w:val="0"/>
                <w:sz w:val="28"/>
                <w:szCs w:val="28"/>
                <w:highlight w:val="none"/>
                <w:lang w:val="en-US" w:eastAsia="zh-CN" w:bidi="ar-SA"/>
              </w:rPr>
              <w:t xml:space="preserve">邮政编码： </w:t>
            </w:r>
          </w:p>
        </w:tc>
      </w:tr>
      <w:tr w14:paraId="3EE54E31">
        <w:tblPrEx>
          <w:tblCellMar>
            <w:top w:w="0" w:type="dxa"/>
            <w:left w:w="108" w:type="dxa"/>
            <w:bottom w:w="0" w:type="dxa"/>
            <w:right w:w="108" w:type="dxa"/>
          </w:tblCellMar>
        </w:tblPrEx>
        <w:trPr>
          <w:trHeight w:val="850" w:hRule="atLeast"/>
          <w:jc w:val="center"/>
        </w:trPr>
        <w:tc>
          <w:tcPr>
            <w:tcW w:w="4296" w:type="dxa"/>
            <w:noWrap w:val="0"/>
            <w:vAlign w:val="center"/>
          </w:tcPr>
          <w:p w14:paraId="2919D5C9">
            <w:pPr>
              <w:jc w:val="both"/>
              <w:rPr>
                <w:rFonts w:hint="default" w:ascii="仿宋_GB2312" w:hAnsi="仿宋_GB2312" w:eastAsia="仿宋_GB2312" w:cs="仿宋_GB2312"/>
                <w:snapToGrid w:val="0"/>
                <w:color w:val="000000"/>
                <w:kern w:val="0"/>
                <w:sz w:val="28"/>
                <w:szCs w:val="28"/>
                <w:highlight w:val="none"/>
                <w:lang w:val="en-US" w:eastAsia="zh-CN" w:bidi="ar-SA"/>
              </w:rPr>
            </w:pPr>
            <w:r>
              <w:rPr>
                <w:rFonts w:hint="eastAsia" w:ascii="仿宋_GB2312" w:hAnsi="仿宋_GB2312" w:eastAsia="仿宋_GB2312" w:cs="仿宋_GB2312"/>
                <w:snapToGrid w:val="0"/>
                <w:color w:val="000000"/>
                <w:kern w:val="0"/>
                <w:sz w:val="28"/>
                <w:szCs w:val="28"/>
                <w:highlight w:val="none"/>
                <w:lang w:val="en-US" w:eastAsia="zh-CN" w:bidi="ar-SA"/>
              </w:rPr>
              <w:t xml:space="preserve">电话： </w:t>
            </w:r>
          </w:p>
          <w:p w14:paraId="4ED158E3">
            <w:pPr>
              <w:pStyle w:val="5"/>
              <w:keepNext w:val="0"/>
              <w:keepLines w:val="0"/>
              <w:pageBreakBefore w:val="0"/>
              <w:widowControl w:val="0"/>
              <w:kinsoku/>
              <w:wordWrap/>
              <w:overflowPunct/>
              <w:topLinePunct w:val="0"/>
              <w:autoSpaceDE/>
              <w:autoSpaceDN/>
              <w:bidi w:val="0"/>
              <w:adjustRightInd/>
              <w:snapToGrid w:val="0"/>
              <w:spacing w:line="360" w:lineRule="auto"/>
              <w:ind w:left="420" w:hanging="560" w:hangingChars="200"/>
              <w:jc w:val="both"/>
              <w:textAlignment w:val="auto"/>
              <w:rPr>
                <w:rFonts w:hint="eastAsia" w:ascii="仿宋_GB2312" w:hAnsi="仿宋_GB2312" w:eastAsia="仿宋_GB2312" w:cs="仿宋_GB2312"/>
                <w:snapToGrid w:val="0"/>
                <w:color w:val="000000"/>
                <w:kern w:val="0"/>
                <w:sz w:val="28"/>
                <w:szCs w:val="28"/>
                <w:highlight w:val="none"/>
                <w:lang w:val="en-US" w:eastAsia="zh-CN" w:bidi="ar-SA"/>
              </w:rPr>
            </w:pPr>
          </w:p>
        </w:tc>
        <w:tc>
          <w:tcPr>
            <w:tcW w:w="4561" w:type="dxa"/>
            <w:noWrap w:val="0"/>
            <w:vAlign w:val="center"/>
          </w:tcPr>
          <w:p w14:paraId="2DDAD076">
            <w:pPr>
              <w:pStyle w:val="5"/>
              <w:keepNext w:val="0"/>
              <w:keepLines w:val="0"/>
              <w:pageBreakBefore w:val="0"/>
              <w:widowControl w:val="0"/>
              <w:kinsoku/>
              <w:wordWrap/>
              <w:overflowPunct/>
              <w:topLinePunct w:val="0"/>
              <w:autoSpaceDE/>
              <w:autoSpaceDN/>
              <w:bidi w:val="0"/>
              <w:adjustRightInd/>
              <w:snapToGrid w:val="0"/>
              <w:spacing w:line="360" w:lineRule="auto"/>
              <w:ind w:left="420" w:hanging="560" w:hangingChars="200"/>
              <w:jc w:val="left"/>
              <w:textAlignment w:val="auto"/>
              <w:rPr>
                <w:rFonts w:hint="default" w:ascii="仿宋_GB2312" w:hAnsi="仿宋_GB2312" w:eastAsia="仿宋_GB2312" w:cs="仿宋_GB2312"/>
                <w:snapToGrid w:val="0"/>
                <w:color w:val="000000"/>
                <w:kern w:val="0"/>
                <w:sz w:val="28"/>
                <w:szCs w:val="28"/>
                <w:highlight w:val="none"/>
                <w:lang w:val="en-US" w:eastAsia="zh-CN" w:bidi="ar-SA"/>
              </w:rPr>
            </w:pPr>
            <w:r>
              <w:rPr>
                <w:rFonts w:hint="eastAsia" w:ascii="仿宋_GB2312" w:hAnsi="仿宋_GB2312" w:eastAsia="仿宋_GB2312" w:cs="仿宋_GB2312"/>
                <w:snapToGrid w:val="0"/>
                <w:color w:val="000000"/>
                <w:kern w:val="0"/>
                <w:sz w:val="28"/>
                <w:szCs w:val="28"/>
                <w:highlight w:val="none"/>
                <w:lang w:val="en-US" w:eastAsia="zh-CN" w:bidi="ar-SA"/>
              </w:rPr>
              <w:t>电话：</w:t>
            </w:r>
          </w:p>
        </w:tc>
      </w:tr>
      <w:tr w14:paraId="2365E90D">
        <w:tblPrEx>
          <w:tblCellMar>
            <w:top w:w="0" w:type="dxa"/>
            <w:left w:w="108" w:type="dxa"/>
            <w:bottom w:w="0" w:type="dxa"/>
            <w:right w:w="108" w:type="dxa"/>
          </w:tblCellMar>
        </w:tblPrEx>
        <w:trPr>
          <w:trHeight w:val="850" w:hRule="atLeast"/>
          <w:jc w:val="center"/>
        </w:trPr>
        <w:tc>
          <w:tcPr>
            <w:tcW w:w="4296" w:type="dxa"/>
            <w:noWrap w:val="0"/>
            <w:vAlign w:val="center"/>
          </w:tcPr>
          <w:p w14:paraId="13546DD6">
            <w:pPr>
              <w:pStyle w:val="5"/>
              <w:keepNext w:val="0"/>
              <w:keepLines w:val="0"/>
              <w:pageBreakBefore w:val="0"/>
              <w:widowControl w:val="0"/>
              <w:kinsoku/>
              <w:wordWrap/>
              <w:overflowPunct/>
              <w:topLinePunct w:val="0"/>
              <w:autoSpaceDE/>
              <w:autoSpaceDN/>
              <w:bidi w:val="0"/>
              <w:adjustRightInd/>
              <w:snapToGrid w:val="0"/>
              <w:spacing w:line="360" w:lineRule="auto"/>
              <w:ind w:left="420" w:hanging="560" w:hangingChars="200"/>
              <w:jc w:val="both"/>
              <w:textAlignment w:val="auto"/>
              <w:rPr>
                <w:rFonts w:hint="eastAsia" w:ascii="仿宋_GB2312" w:hAnsi="仿宋_GB2312" w:eastAsia="仿宋_GB2312" w:cs="仿宋_GB2312"/>
                <w:snapToGrid w:val="0"/>
                <w:color w:val="000000"/>
                <w:kern w:val="0"/>
                <w:sz w:val="28"/>
                <w:szCs w:val="28"/>
                <w:highlight w:val="none"/>
                <w:lang w:val="en-US" w:eastAsia="zh-CN" w:bidi="ar-SA"/>
              </w:rPr>
            </w:pPr>
            <w:r>
              <w:rPr>
                <w:rFonts w:hint="eastAsia" w:ascii="仿宋_GB2312" w:hAnsi="仿宋_GB2312" w:eastAsia="仿宋_GB2312" w:cs="仿宋_GB2312"/>
                <w:snapToGrid w:val="0"/>
                <w:color w:val="000000"/>
                <w:kern w:val="0"/>
                <w:sz w:val="28"/>
                <w:szCs w:val="28"/>
                <w:highlight w:val="none"/>
                <w:lang w:val="en-US" w:eastAsia="zh-CN" w:bidi="ar-SA"/>
              </w:rPr>
              <w:t>电子信箱：</w:t>
            </w:r>
            <w:r>
              <w:rPr>
                <w:rFonts w:hint="eastAsia" w:ascii="仿宋_GB2312" w:hAnsi="仿宋_GB2312" w:eastAsia="仿宋_GB2312" w:cs="仿宋_GB2312"/>
                <w:snapToGrid w:val="0"/>
                <w:color w:val="000000"/>
                <w:kern w:val="0"/>
                <w:sz w:val="28"/>
                <w:szCs w:val="28"/>
                <w:highlight w:val="none"/>
                <w:lang w:val="en-US" w:eastAsia="zh-CN" w:bidi="ar-SA"/>
              </w:rPr>
              <w:fldChar w:fldCharType="begin"/>
            </w:r>
            <w:r>
              <w:rPr>
                <w:rFonts w:hint="eastAsia" w:ascii="仿宋_GB2312" w:hAnsi="仿宋_GB2312" w:eastAsia="仿宋_GB2312" w:cs="仿宋_GB2312"/>
                <w:snapToGrid w:val="0"/>
                <w:color w:val="000000"/>
                <w:kern w:val="0"/>
                <w:sz w:val="28"/>
                <w:szCs w:val="28"/>
                <w:highlight w:val="none"/>
                <w:lang w:val="en-US" w:eastAsia="zh-CN" w:bidi="ar-SA"/>
              </w:rPr>
              <w:instrText xml:space="preserve"> HYPERLINK "mailto:425158520@qq.com" </w:instrText>
            </w:r>
            <w:r>
              <w:rPr>
                <w:rFonts w:hint="eastAsia" w:ascii="仿宋_GB2312" w:hAnsi="仿宋_GB2312" w:eastAsia="仿宋_GB2312" w:cs="仿宋_GB2312"/>
                <w:snapToGrid w:val="0"/>
                <w:color w:val="000000"/>
                <w:kern w:val="0"/>
                <w:sz w:val="28"/>
                <w:szCs w:val="28"/>
                <w:highlight w:val="none"/>
                <w:lang w:val="en-US" w:eastAsia="zh-CN" w:bidi="ar-SA"/>
              </w:rPr>
              <w:fldChar w:fldCharType="separate"/>
            </w:r>
            <w:r>
              <w:rPr>
                <w:rFonts w:hint="eastAsia" w:ascii="仿宋_GB2312" w:hAnsi="仿宋_GB2312" w:eastAsia="仿宋_GB2312" w:cs="仿宋_GB2312"/>
                <w:snapToGrid w:val="0"/>
                <w:color w:val="000000"/>
                <w:kern w:val="0"/>
                <w:sz w:val="28"/>
                <w:szCs w:val="28"/>
                <w:highlight w:val="none"/>
                <w:lang w:val="en-US" w:eastAsia="zh-CN" w:bidi="ar-SA"/>
              </w:rPr>
              <w:t>425158520@qq.com</w:t>
            </w:r>
            <w:r>
              <w:rPr>
                <w:rFonts w:hint="eastAsia" w:ascii="仿宋_GB2312" w:hAnsi="仿宋_GB2312" w:eastAsia="仿宋_GB2312" w:cs="仿宋_GB2312"/>
                <w:snapToGrid w:val="0"/>
                <w:color w:val="000000"/>
                <w:kern w:val="0"/>
                <w:sz w:val="28"/>
                <w:szCs w:val="28"/>
                <w:highlight w:val="none"/>
                <w:lang w:val="en-US" w:eastAsia="zh-CN" w:bidi="ar-SA"/>
              </w:rPr>
              <w:fldChar w:fldCharType="end"/>
            </w:r>
          </w:p>
        </w:tc>
        <w:tc>
          <w:tcPr>
            <w:tcW w:w="4561" w:type="dxa"/>
            <w:noWrap w:val="0"/>
            <w:vAlign w:val="center"/>
          </w:tcPr>
          <w:p w14:paraId="7D1643B7">
            <w:pPr>
              <w:pStyle w:val="5"/>
              <w:keepNext w:val="0"/>
              <w:keepLines w:val="0"/>
              <w:pageBreakBefore w:val="0"/>
              <w:widowControl w:val="0"/>
              <w:kinsoku/>
              <w:wordWrap/>
              <w:overflowPunct/>
              <w:topLinePunct w:val="0"/>
              <w:autoSpaceDE/>
              <w:autoSpaceDN/>
              <w:bidi w:val="0"/>
              <w:adjustRightInd/>
              <w:snapToGrid w:val="0"/>
              <w:spacing w:line="360" w:lineRule="auto"/>
              <w:ind w:left="420" w:hanging="560" w:hangingChars="200"/>
              <w:jc w:val="left"/>
              <w:textAlignment w:val="auto"/>
              <w:rPr>
                <w:rFonts w:hint="eastAsia" w:ascii="仿宋_GB2312" w:hAnsi="仿宋_GB2312" w:eastAsia="仿宋_GB2312" w:cs="仿宋_GB2312"/>
                <w:snapToGrid w:val="0"/>
                <w:color w:val="000000"/>
                <w:kern w:val="0"/>
                <w:sz w:val="28"/>
                <w:szCs w:val="28"/>
                <w:highlight w:val="none"/>
                <w:lang w:val="en-US" w:eastAsia="zh-CN" w:bidi="ar-SA"/>
              </w:rPr>
            </w:pPr>
            <w:r>
              <w:rPr>
                <w:rFonts w:hint="eastAsia" w:ascii="仿宋_GB2312" w:hAnsi="仿宋_GB2312" w:eastAsia="仿宋_GB2312" w:cs="仿宋_GB2312"/>
                <w:snapToGrid w:val="0"/>
                <w:color w:val="000000"/>
                <w:kern w:val="0"/>
                <w:sz w:val="28"/>
                <w:szCs w:val="28"/>
                <w:highlight w:val="none"/>
                <w:lang w:val="en-US" w:eastAsia="zh-CN" w:bidi="ar-SA"/>
              </w:rPr>
              <w:t>电子信箱：</w:t>
            </w:r>
          </w:p>
        </w:tc>
      </w:tr>
      <w:tr w14:paraId="2027258E">
        <w:tblPrEx>
          <w:tblCellMar>
            <w:top w:w="0" w:type="dxa"/>
            <w:left w:w="108" w:type="dxa"/>
            <w:bottom w:w="0" w:type="dxa"/>
            <w:right w:w="108" w:type="dxa"/>
          </w:tblCellMar>
        </w:tblPrEx>
        <w:trPr>
          <w:trHeight w:val="850" w:hRule="atLeast"/>
          <w:jc w:val="center"/>
        </w:trPr>
        <w:tc>
          <w:tcPr>
            <w:tcW w:w="4296" w:type="dxa"/>
            <w:noWrap w:val="0"/>
            <w:vAlign w:val="center"/>
          </w:tcPr>
          <w:p w14:paraId="634BFC8D">
            <w:pPr>
              <w:pStyle w:val="5"/>
              <w:keepNext w:val="0"/>
              <w:keepLines w:val="0"/>
              <w:pageBreakBefore w:val="0"/>
              <w:widowControl w:val="0"/>
              <w:kinsoku/>
              <w:wordWrap/>
              <w:overflowPunct/>
              <w:topLinePunct w:val="0"/>
              <w:autoSpaceDE/>
              <w:autoSpaceDN/>
              <w:bidi w:val="0"/>
              <w:adjustRightInd/>
              <w:snapToGrid w:val="0"/>
              <w:spacing w:line="360" w:lineRule="auto"/>
              <w:ind w:left="420" w:hanging="560" w:hangingChars="200"/>
              <w:jc w:val="both"/>
              <w:textAlignment w:val="auto"/>
              <w:rPr>
                <w:rFonts w:hint="eastAsia" w:ascii="仿宋_GB2312" w:hAnsi="仿宋_GB2312" w:eastAsia="仿宋_GB2312" w:cs="仿宋_GB2312"/>
                <w:snapToGrid w:val="0"/>
                <w:color w:val="000000"/>
                <w:kern w:val="0"/>
                <w:sz w:val="28"/>
                <w:szCs w:val="28"/>
                <w:highlight w:val="none"/>
                <w:lang w:val="en-US" w:eastAsia="zh-CN" w:bidi="ar-SA"/>
              </w:rPr>
            </w:pPr>
            <w:r>
              <w:rPr>
                <w:rFonts w:hint="eastAsia" w:ascii="仿宋_GB2312" w:hAnsi="仿宋_GB2312" w:eastAsia="仿宋_GB2312" w:cs="仿宋_GB2312"/>
                <w:snapToGrid w:val="0"/>
                <w:color w:val="000000"/>
                <w:kern w:val="0"/>
                <w:sz w:val="28"/>
                <w:szCs w:val="28"/>
                <w:highlight w:val="none"/>
                <w:lang w:val="en-US" w:eastAsia="zh-CN" w:bidi="ar-SA"/>
              </w:rPr>
              <w:t xml:space="preserve">开户银行：中国工商银行股份有限公司白银铜城支行 </w:t>
            </w:r>
          </w:p>
        </w:tc>
        <w:tc>
          <w:tcPr>
            <w:tcW w:w="4561" w:type="dxa"/>
            <w:noWrap w:val="0"/>
            <w:vAlign w:val="top"/>
          </w:tcPr>
          <w:p w14:paraId="3976C53F">
            <w:pPr>
              <w:pStyle w:val="5"/>
              <w:keepNext w:val="0"/>
              <w:keepLines w:val="0"/>
              <w:pageBreakBefore w:val="0"/>
              <w:widowControl w:val="0"/>
              <w:kinsoku/>
              <w:wordWrap/>
              <w:overflowPunct/>
              <w:topLinePunct w:val="0"/>
              <w:autoSpaceDE/>
              <w:autoSpaceDN/>
              <w:bidi w:val="0"/>
              <w:adjustRightInd/>
              <w:snapToGrid w:val="0"/>
              <w:spacing w:line="360" w:lineRule="auto"/>
              <w:ind w:left="420" w:hanging="560" w:hangingChars="200"/>
              <w:jc w:val="left"/>
              <w:textAlignment w:val="auto"/>
              <w:rPr>
                <w:rFonts w:hint="eastAsia" w:ascii="仿宋_GB2312" w:hAnsi="仿宋_GB2312" w:eastAsia="仿宋_GB2312" w:cs="仿宋_GB2312"/>
                <w:snapToGrid w:val="0"/>
                <w:color w:val="000000"/>
                <w:kern w:val="0"/>
                <w:sz w:val="28"/>
                <w:szCs w:val="28"/>
                <w:highlight w:val="none"/>
                <w:lang w:val="en-US" w:eastAsia="zh-CN" w:bidi="ar-SA"/>
              </w:rPr>
            </w:pPr>
            <w:r>
              <w:rPr>
                <w:rFonts w:hint="eastAsia" w:ascii="仿宋_GB2312" w:hAnsi="仿宋_GB2312" w:eastAsia="仿宋_GB2312" w:cs="仿宋_GB2312"/>
                <w:snapToGrid w:val="0"/>
                <w:color w:val="000000"/>
                <w:kern w:val="0"/>
                <w:sz w:val="28"/>
                <w:szCs w:val="28"/>
                <w:highlight w:val="none"/>
                <w:lang w:val="en-US" w:eastAsia="zh-CN" w:bidi="ar-SA"/>
              </w:rPr>
              <w:t>开户银行：</w:t>
            </w:r>
          </w:p>
        </w:tc>
      </w:tr>
      <w:tr w14:paraId="10AF215D">
        <w:tblPrEx>
          <w:tblCellMar>
            <w:top w:w="0" w:type="dxa"/>
            <w:left w:w="108" w:type="dxa"/>
            <w:bottom w:w="0" w:type="dxa"/>
            <w:right w:w="108" w:type="dxa"/>
          </w:tblCellMar>
        </w:tblPrEx>
        <w:trPr>
          <w:trHeight w:val="850" w:hRule="atLeast"/>
          <w:jc w:val="center"/>
        </w:trPr>
        <w:tc>
          <w:tcPr>
            <w:tcW w:w="4296" w:type="dxa"/>
            <w:noWrap w:val="0"/>
            <w:vAlign w:val="center"/>
          </w:tcPr>
          <w:p w14:paraId="50DDCC8D">
            <w:pPr>
              <w:rPr>
                <w:rFonts w:hint="default" w:ascii="仿宋_GB2312" w:hAnsi="仿宋_GB2312" w:eastAsia="仿宋_GB2312" w:cs="仿宋_GB2312"/>
                <w:snapToGrid w:val="0"/>
                <w:color w:val="000000"/>
                <w:kern w:val="0"/>
                <w:sz w:val="28"/>
                <w:szCs w:val="28"/>
                <w:highlight w:val="none"/>
                <w:lang w:val="en-US" w:eastAsia="zh-CN" w:bidi="ar-SA"/>
              </w:rPr>
            </w:pPr>
          </w:p>
          <w:p w14:paraId="7B61E1D9">
            <w:pPr>
              <w:rPr>
                <w:rFonts w:hint="eastAsia" w:ascii="仿宋_GB2312" w:hAnsi="仿宋_GB2312" w:eastAsia="仿宋_GB2312" w:cs="仿宋_GB2312"/>
                <w:snapToGrid w:val="0"/>
                <w:color w:val="000000"/>
                <w:kern w:val="0"/>
                <w:sz w:val="28"/>
                <w:szCs w:val="28"/>
                <w:highlight w:val="none"/>
                <w:lang w:val="en-US" w:eastAsia="zh-CN" w:bidi="ar-SA"/>
              </w:rPr>
            </w:pPr>
            <w:r>
              <w:rPr>
                <w:rFonts w:hint="default" w:ascii="仿宋_GB2312" w:hAnsi="仿宋_GB2312" w:eastAsia="仿宋_GB2312" w:cs="仿宋_GB2312"/>
                <w:snapToGrid w:val="0"/>
                <w:color w:val="000000"/>
                <w:kern w:val="0"/>
                <w:sz w:val="28"/>
                <w:szCs w:val="28"/>
                <w:highlight w:val="none"/>
                <w:lang w:val="en-US" w:eastAsia="zh-CN" w:bidi="ar-SA"/>
              </w:rPr>
              <w:t>账号:</w:t>
            </w:r>
            <w:r>
              <w:rPr>
                <w:rFonts w:hint="eastAsia" w:ascii="仿宋_GB2312" w:hAnsi="仿宋_GB2312" w:eastAsia="仿宋_GB2312" w:cs="仿宋_GB2312"/>
                <w:snapToGrid w:val="0"/>
                <w:color w:val="000000"/>
                <w:kern w:val="0"/>
                <w:sz w:val="28"/>
                <w:szCs w:val="28"/>
                <w:highlight w:val="none"/>
                <w:lang w:val="en-US" w:eastAsia="zh-CN" w:bidi="ar-SA"/>
              </w:rPr>
              <w:t>2704055109200126819</w:t>
            </w:r>
          </w:p>
          <w:p w14:paraId="3D8794EB">
            <w:pPr>
              <w:jc w:val="left"/>
              <w:rPr>
                <w:rFonts w:hint="eastAsia" w:ascii="仿宋_GB2312" w:hAnsi="仿宋_GB2312" w:eastAsia="仿宋_GB2312" w:cs="仿宋_GB2312"/>
                <w:snapToGrid w:val="0"/>
                <w:color w:val="000000"/>
                <w:kern w:val="0"/>
                <w:sz w:val="28"/>
                <w:szCs w:val="28"/>
                <w:highlight w:val="none"/>
                <w:lang w:val="en-US" w:eastAsia="zh-CN" w:bidi="ar-SA"/>
              </w:rPr>
            </w:pPr>
          </w:p>
        </w:tc>
        <w:tc>
          <w:tcPr>
            <w:tcW w:w="4561" w:type="dxa"/>
            <w:noWrap w:val="0"/>
            <w:vAlign w:val="center"/>
          </w:tcPr>
          <w:p w14:paraId="2F7758AE">
            <w:pPr>
              <w:pStyle w:val="5"/>
              <w:keepNext w:val="0"/>
              <w:keepLines w:val="0"/>
              <w:pageBreakBefore w:val="0"/>
              <w:widowControl w:val="0"/>
              <w:kinsoku/>
              <w:wordWrap/>
              <w:overflowPunct/>
              <w:topLinePunct w:val="0"/>
              <w:autoSpaceDE/>
              <w:autoSpaceDN/>
              <w:bidi w:val="0"/>
              <w:adjustRightInd/>
              <w:snapToGrid w:val="0"/>
              <w:spacing w:line="360" w:lineRule="auto"/>
              <w:ind w:left="420" w:hanging="560" w:hangingChars="200"/>
              <w:jc w:val="left"/>
              <w:textAlignment w:val="auto"/>
              <w:rPr>
                <w:rFonts w:hint="default" w:ascii="仿宋_GB2312" w:hAnsi="仿宋_GB2312" w:eastAsia="仿宋_GB2312" w:cs="仿宋_GB2312"/>
                <w:snapToGrid w:val="0"/>
                <w:color w:val="000000"/>
                <w:kern w:val="0"/>
                <w:sz w:val="28"/>
                <w:szCs w:val="28"/>
                <w:highlight w:val="none"/>
                <w:lang w:val="en-US" w:eastAsia="zh-CN" w:bidi="ar-SA"/>
              </w:rPr>
            </w:pPr>
            <w:r>
              <w:rPr>
                <w:rFonts w:hint="eastAsia" w:ascii="仿宋_GB2312" w:hAnsi="仿宋_GB2312" w:eastAsia="仿宋_GB2312" w:cs="仿宋_GB2312"/>
                <w:snapToGrid w:val="0"/>
                <w:color w:val="000000"/>
                <w:kern w:val="0"/>
                <w:sz w:val="28"/>
                <w:szCs w:val="28"/>
                <w:highlight w:val="none"/>
                <w:lang w:val="en-US" w:eastAsia="zh-CN" w:bidi="ar-SA"/>
              </w:rPr>
              <w:t>账号：</w:t>
            </w:r>
          </w:p>
        </w:tc>
      </w:tr>
      <w:tr w14:paraId="031AA791">
        <w:tblPrEx>
          <w:tblCellMar>
            <w:top w:w="0" w:type="dxa"/>
            <w:left w:w="108" w:type="dxa"/>
            <w:bottom w:w="0" w:type="dxa"/>
            <w:right w:w="108" w:type="dxa"/>
          </w:tblCellMar>
        </w:tblPrEx>
        <w:trPr>
          <w:trHeight w:val="850" w:hRule="atLeast"/>
          <w:jc w:val="center"/>
        </w:trPr>
        <w:tc>
          <w:tcPr>
            <w:tcW w:w="4296" w:type="dxa"/>
            <w:noWrap w:val="0"/>
            <w:vAlign w:val="center"/>
          </w:tcPr>
          <w:p w14:paraId="487AAC1A">
            <w:pPr>
              <w:rPr>
                <w:rFonts w:hint="default" w:ascii="仿宋_GB2312" w:hAnsi="仿宋_GB2312" w:eastAsia="仿宋_GB2312" w:cs="仿宋_GB2312"/>
                <w:snapToGrid w:val="0"/>
                <w:color w:val="000000"/>
                <w:kern w:val="0"/>
                <w:sz w:val="28"/>
                <w:szCs w:val="28"/>
                <w:highlight w:val="none"/>
                <w:lang w:val="en-US" w:eastAsia="zh-CN" w:bidi="ar-SA"/>
              </w:rPr>
            </w:pPr>
            <w:r>
              <w:rPr>
                <w:rFonts w:hint="eastAsia" w:ascii="仿宋_GB2312" w:hAnsi="仿宋_GB2312" w:eastAsia="仿宋_GB2312" w:cs="仿宋_GB2312"/>
                <w:snapToGrid w:val="0"/>
                <w:color w:val="000000"/>
                <w:kern w:val="0"/>
                <w:sz w:val="28"/>
                <w:szCs w:val="28"/>
                <w:highlight w:val="none"/>
                <w:lang w:val="en-US" w:eastAsia="zh-CN" w:bidi="ar-SA"/>
              </w:rPr>
              <w:t xml:space="preserve"> </w:t>
            </w:r>
          </w:p>
          <w:p w14:paraId="0FD82728">
            <w:pPr>
              <w:rPr>
                <w:rFonts w:hint="eastAsia" w:ascii="仿宋_GB2312" w:hAnsi="仿宋_GB2312" w:eastAsia="仿宋_GB2312" w:cs="仿宋_GB2312"/>
                <w:snapToGrid w:val="0"/>
                <w:color w:val="000000"/>
                <w:kern w:val="0"/>
                <w:sz w:val="28"/>
                <w:szCs w:val="28"/>
                <w:highlight w:val="none"/>
                <w:lang w:val="en-US" w:eastAsia="zh-CN" w:bidi="ar-SA"/>
              </w:rPr>
            </w:pPr>
            <w:r>
              <w:rPr>
                <w:rFonts w:hint="default" w:ascii="仿宋_GB2312" w:hAnsi="仿宋_GB2312" w:eastAsia="仿宋_GB2312" w:cs="仿宋_GB2312"/>
                <w:snapToGrid w:val="0"/>
                <w:color w:val="000000"/>
                <w:kern w:val="0"/>
                <w:sz w:val="28"/>
                <w:szCs w:val="28"/>
                <w:highlight w:val="none"/>
                <w:lang w:val="en-US" w:eastAsia="zh-CN" w:bidi="ar-SA"/>
              </w:rPr>
              <w:t>税号：</w:t>
            </w:r>
            <w:r>
              <w:rPr>
                <w:rFonts w:hint="eastAsia" w:ascii="仿宋_GB2312" w:hAnsi="仿宋_GB2312" w:eastAsia="仿宋_GB2312" w:cs="仿宋_GB2312"/>
                <w:snapToGrid w:val="0"/>
                <w:color w:val="000000"/>
                <w:kern w:val="0"/>
                <w:sz w:val="28"/>
                <w:szCs w:val="28"/>
                <w:highlight w:val="none"/>
                <w:lang w:val="en-US" w:eastAsia="zh-CN" w:bidi="ar-SA"/>
              </w:rPr>
              <w:t>91620400MA736YUW0C</w:t>
            </w:r>
          </w:p>
          <w:p w14:paraId="1E89C9D0">
            <w:pPr>
              <w:jc w:val="left"/>
              <w:rPr>
                <w:rFonts w:hint="eastAsia" w:ascii="仿宋_GB2312" w:hAnsi="仿宋_GB2312" w:eastAsia="仿宋_GB2312" w:cs="仿宋_GB2312"/>
                <w:snapToGrid w:val="0"/>
                <w:color w:val="000000"/>
                <w:kern w:val="0"/>
                <w:sz w:val="28"/>
                <w:szCs w:val="28"/>
                <w:highlight w:val="none"/>
                <w:lang w:val="en-US" w:eastAsia="zh-CN" w:bidi="ar-SA"/>
              </w:rPr>
            </w:pPr>
          </w:p>
        </w:tc>
        <w:tc>
          <w:tcPr>
            <w:tcW w:w="4561" w:type="dxa"/>
            <w:noWrap w:val="0"/>
            <w:vAlign w:val="center"/>
          </w:tcPr>
          <w:p w14:paraId="3519A8EF">
            <w:pPr>
              <w:pStyle w:val="5"/>
              <w:keepNext w:val="0"/>
              <w:keepLines w:val="0"/>
              <w:pageBreakBefore w:val="0"/>
              <w:widowControl w:val="0"/>
              <w:kinsoku/>
              <w:wordWrap/>
              <w:overflowPunct/>
              <w:topLinePunct w:val="0"/>
              <w:autoSpaceDE/>
              <w:autoSpaceDN/>
              <w:bidi w:val="0"/>
              <w:adjustRightInd/>
              <w:snapToGrid w:val="0"/>
              <w:spacing w:line="360" w:lineRule="auto"/>
              <w:ind w:left="420" w:hanging="480" w:hangingChars="200"/>
              <w:jc w:val="left"/>
              <w:textAlignment w:val="auto"/>
              <w:rPr>
                <w:rFonts w:hint="eastAsia" w:ascii="仿宋_GB2312" w:hAnsi="仿宋_GB2312" w:eastAsia="仿宋_GB2312" w:cs="仿宋_GB2312"/>
                <w:snapToGrid w:val="0"/>
                <w:color w:val="000000"/>
                <w:kern w:val="0"/>
                <w:sz w:val="28"/>
                <w:szCs w:val="28"/>
                <w:highlight w:val="none"/>
                <w:lang w:val="en-US" w:eastAsia="zh-CN" w:bidi="ar-SA"/>
              </w:rPr>
            </w:pPr>
            <w:r>
              <w:rPr>
                <w:rFonts w:hint="default" w:ascii="Times New Roman" w:hAnsi="Times New Roman" w:eastAsia="宋体" w:cs="Times New Roman"/>
                <w:b w:val="0"/>
                <w:bCs/>
                <w:color w:val="auto"/>
                <w:sz w:val="24"/>
                <w:szCs w:val="24"/>
              </w:rPr>
              <w:t>税号：</w:t>
            </w:r>
          </w:p>
        </w:tc>
      </w:tr>
    </w:tbl>
    <w:p w14:paraId="0BAFEB13">
      <w:pPr>
        <w:spacing w:line="500" w:lineRule="exact"/>
        <w:ind w:firstLine="2600" w:firstLineChars="500"/>
        <w:rPr>
          <w:rFonts w:hint="eastAsia" w:ascii="仿宋_GB2312" w:eastAsia="仿宋_GB2312"/>
          <w:sz w:val="52"/>
          <w:szCs w:val="52"/>
          <w:lang w:val="en-US" w:eastAsia="zh-CN"/>
        </w:rPr>
      </w:pPr>
    </w:p>
    <w:p w14:paraId="2C757E59">
      <w:pPr>
        <w:spacing w:line="500" w:lineRule="exact"/>
        <w:ind w:firstLine="2600" w:firstLineChars="500"/>
        <w:rPr>
          <w:rFonts w:hint="eastAsia" w:ascii="仿宋_GB2312" w:eastAsia="仿宋_GB2312"/>
          <w:sz w:val="52"/>
          <w:szCs w:val="52"/>
          <w:lang w:val="en-US" w:eastAsia="zh-CN"/>
        </w:rPr>
      </w:pPr>
    </w:p>
    <w:p w14:paraId="536F531D">
      <w:pPr>
        <w:spacing w:line="500" w:lineRule="exact"/>
        <w:ind w:firstLine="2600" w:firstLineChars="500"/>
        <w:rPr>
          <w:rFonts w:hint="eastAsia" w:ascii="仿宋_GB2312" w:eastAsia="仿宋_GB2312"/>
          <w:sz w:val="52"/>
          <w:szCs w:val="52"/>
          <w:lang w:val="en-US" w:eastAsia="zh-CN"/>
        </w:rPr>
      </w:pPr>
    </w:p>
    <w:p w14:paraId="0FA84DA6">
      <w:pPr>
        <w:spacing w:line="500" w:lineRule="exact"/>
        <w:ind w:firstLine="2600" w:firstLineChars="500"/>
        <w:rPr>
          <w:rFonts w:hint="eastAsia" w:ascii="仿宋_GB2312" w:eastAsia="仿宋_GB2312"/>
          <w:sz w:val="52"/>
          <w:szCs w:val="52"/>
          <w:lang w:val="en-US" w:eastAsia="zh-CN"/>
        </w:rPr>
      </w:pPr>
    </w:p>
    <w:p w14:paraId="2DCF503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8"/>
          <w:szCs w:val="28"/>
          <w:highlight w:val="none"/>
        </w:rPr>
      </w:pPr>
    </w:p>
    <w:p w14:paraId="03931474">
      <w:pPr>
        <w:pStyle w:val="19"/>
        <w:spacing w:before="0" w:after="0" w:line="360" w:lineRule="auto"/>
        <w:jc w:val="center"/>
        <w:rPr>
          <w:rFonts w:hint="eastAsia" w:ascii="宋体" w:hAnsi="宋体" w:eastAsia="宋体" w:cs="宋体"/>
          <w:color w:val="auto"/>
          <w:szCs w:val="32"/>
          <w:highlight w:val="none"/>
        </w:rPr>
      </w:pPr>
      <w:bookmarkStart w:id="144" w:name="_Toc2200"/>
      <w:bookmarkStart w:id="145" w:name="_Toc29329"/>
      <w:bookmarkStart w:id="146" w:name="_Toc9932"/>
      <w:bookmarkStart w:id="147" w:name="_Toc14233"/>
      <w:bookmarkStart w:id="148" w:name="_Toc19901"/>
      <w:bookmarkStart w:id="149" w:name="_Toc7476"/>
      <w:bookmarkStart w:id="150" w:name="_Toc3970"/>
      <w:bookmarkStart w:id="151" w:name="_Toc8992"/>
      <w:bookmarkStart w:id="152" w:name="_Toc5687"/>
      <w:bookmarkStart w:id="153" w:name="_Toc14773"/>
      <w:bookmarkStart w:id="154" w:name="_Toc18680"/>
      <w:bookmarkStart w:id="155" w:name="_Toc106718887"/>
      <w:r>
        <w:rPr>
          <w:rFonts w:hint="eastAsia" w:ascii="宋体" w:hAnsi="宋体" w:eastAsia="宋体" w:cs="宋体"/>
          <w:color w:val="auto"/>
          <w:szCs w:val="32"/>
          <w:highlight w:val="none"/>
        </w:rPr>
        <w:t>第二部分 合同通用条款</w:t>
      </w:r>
      <w:bookmarkEnd w:id="144"/>
      <w:bookmarkEnd w:id="145"/>
      <w:bookmarkEnd w:id="146"/>
      <w:bookmarkEnd w:id="147"/>
      <w:bookmarkEnd w:id="148"/>
      <w:bookmarkEnd w:id="149"/>
      <w:bookmarkEnd w:id="150"/>
      <w:bookmarkEnd w:id="151"/>
      <w:bookmarkEnd w:id="152"/>
      <w:bookmarkEnd w:id="153"/>
      <w:bookmarkEnd w:id="154"/>
      <w:bookmarkEnd w:id="155"/>
    </w:p>
    <w:p w14:paraId="1A13601D">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1.定义</w:t>
      </w:r>
    </w:p>
    <w:p w14:paraId="58E6235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1.1合同当事人</w:t>
      </w:r>
    </w:p>
    <w:p w14:paraId="22417410">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（1）采购人(以下称甲方)是指使用财政性资金，通过采购程序向</w:t>
      </w:r>
      <w:r>
        <w:rPr>
          <w:rFonts w:hint="eastAsia" w:ascii="仿宋_GB2312" w:hAnsi="仿宋_GB2312" w:eastAsia="仿宋_GB2312" w:cs="仿宋_GB2312"/>
          <w:color w:val="auto"/>
          <w:sz w:val="28"/>
          <w:szCs w:val="28"/>
          <w:highlight w:val="none"/>
          <w:lang w:eastAsia="zh-CN"/>
        </w:rPr>
        <w:t>投标人</w:t>
      </w:r>
      <w:r>
        <w:rPr>
          <w:rFonts w:hint="eastAsia" w:ascii="仿宋_GB2312" w:hAnsi="仿宋_GB2312" w:eastAsia="仿宋_GB2312" w:cs="仿宋_GB2312"/>
          <w:color w:val="auto"/>
          <w:sz w:val="28"/>
          <w:szCs w:val="28"/>
          <w:highlight w:val="none"/>
        </w:rPr>
        <w:t>购买货物、工程、服务的国家机关、事业单位、团体组织。</w:t>
      </w:r>
    </w:p>
    <w:p w14:paraId="3E195BD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w:t>
      </w:r>
      <w:r>
        <w:rPr>
          <w:rFonts w:hint="eastAsia" w:ascii="仿宋_GB2312" w:hAnsi="仿宋_GB2312" w:eastAsia="仿宋_GB2312" w:cs="仿宋_GB2312"/>
          <w:color w:val="auto"/>
          <w:sz w:val="28"/>
          <w:szCs w:val="28"/>
          <w:highlight w:val="none"/>
          <w:lang w:eastAsia="zh-CN"/>
        </w:rPr>
        <w:t>投标人</w:t>
      </w:r>
      <w:r>
        <w:rPr>
          <w:rFonts w:hint="eastAsia" w:ascii="仿宋_GB2312" w:hAnsi="仿宋_GB2312" w:eastAsia="仿宋_GB2312" w:cs="仿宋_GB2312"/>
          <w:color w:val="auto"/>
          <w:sz w:val="28"/>
          <w:szCs w:val="28"/>
          <w:highlight w:val="none"/>
        </w:rPr>
        <w:t>(以下称乙方)是指参加采购活动而取得投标资格，并向采购人提供货物、工程、服务的法人、其他组织或者自然人。</w:t>
      </w:r>
    </w:p>
    <w:p w14:paraId="45D6AA0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1.2 本合同下列术语应解释为：</w:t>
      </w:r>
    </w:p>
    <w:p w14:paraId="3937DE3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（1）“合同”系指甲乙双方签署的、采购合同协议书中载明的甲乙双方所达成的协议，包括所有的附件、附录和上述文件所提到的构成合同的所有文件。</w:t>
      </w:r>
    </w:p>
    <w:p w14:paraId="74B96A6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（2）“合同价”系指根据本合同规定乙方在正确地完全履行合同义务后甲方应支付给乙方的价款。</w:t>
      </w:r>
    </w:p>
    <w:p w14:paraId="0B4AB63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 本合同所称服务，是指除货物和工程以外的其他政府采购对象。“服务”系指根据本合同规定乙方向甲方提供的相关服务，及合同中规定乙方应承担的其它义务。</w:t>
      </w:r>
    </w:p>
    <w:p w14:paraId="2D927E0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（4）“合同条款”系指本合同条款。</w:t>
      </w:r>
    </w:p>
    <w:p w14:paraId="1977C906">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2.合同的适用范围</w:t>
      </w:r>
    </w:p>
    <w:p w14:paraId="27A3C4B8">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2.1 本合同条款适用于没有被本合同其他部分的条款所取代的范围。</w:t>
      </w:r>
    </w:p>
    <w:p w14:paraId="7A75A5C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2.2 合同内容根据磋商文件、响应文件而确定。</w:t>
      </w:r>
    </w:p>
    <w:p w14:paraId="0DE80808">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3.合同金额</w:t>
      </w:r>
    </w:p>
    <w:p w14:paraId="424336E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3.1 合同金额应与采购结果一致，具体的服务内容见服务内容清单。</w:t>
      </w:r>
    </w:p>
    <w:p w14:paraId="1B342E8F">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4.履行合同的时间、地点和方式</w:t>
      </w:r>
    </w:p>
    <w:p w14:paraId="482B1350">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4.1 乙方应当在甲方确定的时间、指定的地点履行合同，具体的供货时间、地点和方式见合同。</w:t>
      </w:r>
    </w:p>
    <w:p w14:paraId="2DD4C6E0">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4.2 乙方提供服务的应当在甲方指定的地点完成。</w:t>
      </w:r>
    </w:p>
    <w:p w14:paraId="1343357E">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5.保密义务</w:t>
      </w:r>
    </w:p>
    <w:p w14:paraId="388CA3C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5.1 甲、乙双方在履行合同过程中所获悉的对方属于保密的内容，甲、乙双方均有保密义务，否则承担相应法律责任。</w:t>
      </w:r>
    </w:p>
    <w:p w14:paraId="58479904">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6.合同价款支付</w:t>
      </w:r>
    </w:p>
    <w:p w14:paraId="1FD1602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6.1 验收合格后，乙方出具正规发票给甲方，甲方凭开具的发票办理合同价款结算手续。</w:t>
      </w:r>
    </w:p>
    <w:p w14:paraId="136E864E">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6.2 合同价款构成中应当由财政支付的部分，甲方应当在服务验收合格后的十五个工作日内向国库管理部门申请支付，经国库管理部门审核后直接支付给乙方。</w:t>
      </w:r>
    </w:p>
    <w:p w14:paraId="4DBD1E05">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6.3 合同价款构成中应当由甲方自行支付的部分，甲方应当在服务验收合格后十五个工作内支付。</w:t>
      </w:r>
    </w:p>
    <w:p w14:paraId="6096D2B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6.4 支付合同价款时，一律不向乙方以外的任何第三方办理付款手续。开户行和账号以签订的采购合同为准，如果乙方要求变更，则乙方必须提供加盖财务专用章、法人代表签字的证明文件，报经甲方审查核准。</w:t>
      </w:r>
    </w:p>
    <w:p w14:paraId="7022913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6.5 合同价款支付方式和条件在采购合同专用条款中另有规定。</w:t>
      </w:r>
    </w:p>
    <w:p w14:paraId="2857300A">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7. 甲乙双方权利及义务</w:t>
      </w:r>
    </w:p>
    <w:p w14:paraId="2467B7A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7.1甲方权利：</w:t>
      </w:r>
    </w:p>
    <w:p w14:paraId="6AFAE248">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甲方有权利对乙方的工作进度进行监督，对明显落后于项目进度时提出修改意见。</w:t>
      </w:r>
    </w:p>
    <w:p w14:paraId="2F096F3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甲方有权利对乙方提供的</w:t>
      </w:r>
      <w:r>
        <w:rPr>
          <w:rFonts w:hint="eastAsia" w:ascii="仿宋_GB2312" w:hAnsi="仿宋_GB2312" w:eastAsia="仿宋_GB2312" w:cs="仿宋_GB2312"/>
          <w:color w:val="auto"/>
          <w:sz w:val="28"/>
          <w:szCs w:val="28"/>
          <w:highlight w:val="none"/>
          <w:lang w:eastAsia="zh-CN"/>
        </w:rPr>
        <w:t>清产核资和资产评估项目</w:t>
      </w:r>
      <w:r>
        <w:rPr>
          <w:rFonts w:hint="eastAsia" w:ascii="仿宋_GB2312" w:hAnsi="仿宋_GB2312" w:eastAsia="仿宋_GB2312" w:cs="仿宋_GB2312"/>
          <w:color w:val="auto"/>
          <w:sz w:val="28"/>
          <w:szCs w:val="28"/>
          <w:highlight w:val="none"/>
        </w:rPr>
        <w:t>内容不合理处要求改进，以达到甲方需求为止。</w:t>
      </w:r>
    </w:p>
    <w:p w14:paraId="4EA7A32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甲方享有本项目实施过程中产生的一切知识成果及知识产权。</w:t>
      </w:r>
    </w:p>
    <w:p w14:paraId="53F37EA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7.2乙方权利：</w:t>
      </w:r>
    </w:p>
    <w:p w14:paraId="432DF8D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乙方有权利对项目实施人员进行自行安排。</w:t>
      </w:r>
    </w:p>
    <w:p w14:paraId="465C8C73">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乙方有权利对甲方提出的项目成果质量问题或缺陷进行解释。</w:t>
      </w:r>
    </w:p>
    <w:p w14:paraId="2DACFF6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乙方有权利按约定完成项目</w:t>
      </w:r>
      <w:r>
        <w:rPr>
          <w:rFonts w:hint="eastAsia" w:ascii="仿宋_GB2312" w:hAnsi="仿宋_GB2312" w:eastAsia="仿宋_GB2312" w:cs="仿宋_GB2312"/>
          <w:color w:val="auto"/>
          <w:sz w:val="28"/>
          <w:szCs w:val="28"/>
          <w:highlight w:val="none"/>
          <w:lang w:eastAsia="zh-CN"/>
        </w:rPr>
        <w:t>清产核资和资产评估</w:t>
      </w:r>
      <w:r>
        <w:rPr>
          <w:rFonts w:hint="eastAsia" w:ascii="仿宋_GB2312" w:hAnsi="仿宋_GB2312" w:eastAsia="仿宋_GB2312" w:cs="仿宋_GB2312"/>
          <w:color w:val="auto"/>
          <w:sz w:val="28"/>
          <w:szCs w:val="28"/>
          <w:highlight w:val="none"/>
        </w:rPr>
        <w:t>的各项工作。</w:t>
      </w:r>
    </w:p>
    <w:p w14:paraId="76CFC9D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7.3甲方义务：</w:t>
      </w:r>
    </w:p>
    <w:p w14:paraId="707A381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甲方须全力配合乙方工作需要，按规定提供相关资料，并对资料的真实性和完整性负责。</w:t>
      </w:r>
    </w:p>
    <w:p w14:paraId="6C56440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甲方在乙方项目完成并通过相关审查情况下，按照合同约定完成项目费用的支付。</w:t>
      </w:r>
    </w:p>
    <w:p w14:paraId="4F26DA5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7.4乙方义务：</w:t>
      </w:r>
    </w:p>
    <w:p w14:paraId="7096E63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乙方应根据国家相关法律法规进行项目实施，不得违背国家相关政策。</w:t>
      </w:r>
    </w:p>
    <w:p w14:paraId="7475720E">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乙方有义务对项目各阶段出现的遗漏及错误进行修改、补充或重新编制。由乙方失误造成损失的，乙方采取相关补救措施并承担所有费用。</w:t>
      </w:r>
    </w:p>
    <w:p w14:paraId="5A98D27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乙方有义务收集、整理（包括现场测量）项目实施所需的基础材料，并对资料的全面性、可靠性、科学性、时效性、合法性负责。</w:t>
      </w:r>
    </w:p>
    <w:p w14:paraId="7C1BC2E9">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乙方有义务对项目在施工过程中不明确的技术问题进行现场解释及指导。</w:t>
      </w:r>
    </w:p>
    <w:p w14:paraId="17C33580">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乙方应按照合同约定的时间完成项目的实施。</w:t>
      </w:r>
    </w:p>
    <w:p w14:paraId="6DBFFB87">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8.违约责任</w:t>
      </w:r>
    </w:p>
    <w:p w14:paraId="3E740F01">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8.1乙方所交付服务不符合本合同规定的，甲方有权拒收，乙方在得到甲方通知之日起</w:t>
      </w:r>
      <w:r>
        <w:rPr>
          <w:rFonts w:hint="eastAsia" w:ascii="仿宋_GB2312" w:hAnsi="仿宋_GB2312" w:eastAsia="仿宋_GB2312" w:cs="仿宋_GB2312"/>
          <w:color w:val="auto"/>
          <w:sz w:val="28"/>
          <w:szCs w:val="28"/>
          <w:highlight w:val="none"/>
          <w:u w:val="single"/>
        </w:rPr>
        <w:t xml:space="preserve"> 10 </w:t>
      </w:r>
      <w:r>
        <w:rPr>
          <w:rFonts w:hint="eastAsia" w:ascii="仿宋_GB2312" w:hAnsi="仿宋_GB2312" w:eastAsia="仿宋_GB2312" w:cs="仿宋_GB2312"/>
          <w:color w:val="auto"/>
          <w:sz w:val="28"/>
          <w:szCs w:val="28"/>
          <w:highlight w:val="none"/>
        </w:rPr>
        <w:t>个工作日内采取补救措施，逾期仍未采取有效措施的，甲方有权要求乙方赔偿因此造成的损失并扣留履约保证金；同时乙方应向甲方支付合同总价</w:t>
      </w:r>
      <w:r>
        <w:rPr>
          <w:rFonts w:hint="eastAsia" w:ascii="仿宋_GB2312" w:hAnsi="仿宋_GB2312" w:eastAsia="仿宋_GB2312" w:cs="仿宋_GB2312"/>
          <w:color w:val="auto"/>
          <w:sz w:val="28"/>
          <w:szCs w:val="28"/>
          <w:highlight w:val="none"/>
          <w:u w:val="single"/>
        </w:rPr>
        <w:t>30％</w:t>
      </w:r>
      <w:r>
        <w:rPr>
          <w:rFonts w:hint="eastAsia" w:ascii="仿宋_GB2312" w:hAnsi="仿宋_GB2312" w:eastAsia="仿宋_GB2312" w:cs="仿宋_GB2312"/>
          <w:color w:val="auto"/>
          <w:sz w:val="28"/>
          <w:szCs w:val="28"/>
          <w:highlight w:val="none"/>
        </w:rPr>
        <w:t>的违约金。</w:t>
      </w:r>
    </w:p>
    <w:p w14:paraId="2C11B1B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8.2甲方无正当理由拒绝服务，甲方应向乙方偿付拒付服务费用</w:t>
      </w:r>
      <w:r>
        <w:rPr>
          <w:rFonts w:hint="eastAsia" w:ascii="仿宋_GB2312" w:hAnsi="仿宋_GB2312" w:eastAsia="仿宋_GB2312" w:cs="仿宋_GB2312"/>
          <w:color w:val="auto"/>
          <w:sz w:val="28"/>
          <w:szCs w:val="28"/>
          <w:highlight w:val="none"/>
          <w:u w:val="single"/>
        </w:rPr>
        <w:t xml:space="preserve"> 5％</w:t>
      </w:r>
      <w:r>
        <w:rPr>
          <w:rFonts w:hint="eastAsia" w:ascii="仿宋_GB2312" w:hAnsi="仿宋_GB2312" w:eastAsia="仿宋_GB2312" w:cs="仿宋_GB2312"/>
          <w:color w:val="auto"/>
          <w:sz w:val="28"/>
          <w:szCs w:val="28"/>
          <w:highlight w:val="none"/>
        </w:rPr>
        <w:t>的违约金。</w:t>
      </w:r>
    </w:p>
    <w:p w14:paraId="3546CA79">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8.3乙方无正当理由逾期完成服务的，每逾期1天，乙方向甲方偿付合同总额的</w:t>
      </w:r>
      <w:r>
        <w:rPr>
          <w:rFonts w:hint="eastAsia" w:ascii="仿宋_GB2312" w:hAnsi="仿宋_GB2312" w:eastAsia="仿宋_GB2312" w:cs="仿宋_GB2312"/>
          <w:color w:val="auto"/>
          <w:sz w:val="28"/>
          <w:szCs w:val="28"/>
          <w:highlight w:val="none"/>
          <w:u w:val="single"/>
        </w:rPr>
        <w:t xml:space="preserve"> 5 ‰</w:t>
      </w:r>
      <w:r>
        <w:rPr>
          <w:rFonts w:hint="eastAsia" w:ascii="仿宋_GB2312" w:hAnsi="仿宋_GB2312" w:eastAsia="仿宋_GB2312" w:cs="仿宋_GB2312"/>
          <w:color w:val="auto"/>
          <w:sz w:val="28"/>
          <w:szCs w:val="28"/>
          <w:highlight w:val="none"/>
        </w:rPr>
        <w:t>的违约金。如乙方逾期达</w:t>
      </w:r>
      <w:r>
        <w:rPr>
          <w:rFonts w:hint="eastAsia" w:ascii="仿宋_GB2312" w:hAnsi="仿宋_GB2312" w:eastAsia="仿宋_GB2312" w:cs="仿宋_GB2312"/>
          <w:color w:val="auto"/>
          <w:sz w:val="28"/>
          <w:szCs w:val="28"/>
          <w:highlight w:val="none"/>
          <w:u w:val="single"/>
        </w:rPr>
        <w:t>20</w:t>
      </w:r>
      <w:r>
        <w:rPr>
          <w:rFonts w:hint="eastAsia" w:ascii="仿宋_GB2312" w:hAnsi="仿宋_GB2312" w:eastAsia="仿宋_GB2312" w:cs="仿宋_GB2312"/>
          <w:color w:val="auto"/>
          <w:sz w:val="28"/>
          <w:szCs w:val="28"/>
          <w:highlight w:val="none"/>
        </w:rPr>
        <w:t>天，甲方有权解除合同并扣留履约保证金，甲方解除合同的通知自到达乙方时生效。在此情况下，乙方给甲方造成的实际损失高于违约金的，对高出违约金的部分乙方应予以赔偿。</w:t>
      </w:r>
    </w:p>
    <w:p w14:paraId="18B54A0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8.4合同规定的期限向乙方支付合同款的，每逾期1天甲方向乙方偿付欠款总额的</w:t>
      </w:r>
      <w:r>
        <w:rPr>
          <w:rFonts w:hint="eastAsia" w:ascii="仿宋_GB2312" w:hAnsi="仿宋_GB2312" w:eastAsia="仿宋_GB2312" w:cs="仿宋_GB2312"/>
          <w:color w:val="auto"/>
          <w:sz w:val="28"/>
          <w:szCs w:val="28"/>
          <w:highlight w:val="none"/>
          <w:u w:val="single"/>
        </w:rPr>
        <w:t>5‰</w:t>
      </w:r>
      <w:r>
        <w:rPr>
          <w:rFonts w:hint="eastAsia" w:ascii="仿宋_GB2312" w:hAnsi="仿宋_GB2312" w:eastAsia="仿宋_GB2312" w:cs="仿宋_GB2312"/>
          <w:color w:val="auto"/>
          <w:sz w:val="28"/>
          <w:szCs w:val="28"/>
          <w:highlight w:val="none"/>
        </w:rPr>
        <w:t>违约金，但累计违约金总额不超过欠款总额的5％。</w:t>
      </w:r>
    </w:p>
    <w:p w14:paraId="69F17C8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8.5其它未尽事宜，以《中华人民共和国合同法》等有关法律法规规定为准，无相关规定的，双方协商解决。</w:t>
      </w:r>
    </w:p>
    <w:p w14:paraId="4CBB60EA">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9.合同的变更</w:t>
      </w:r>
    </w:p>
    <w:p w14:paraId="32262E5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9.1 在合同履行过程中，甲、乙双方可就合同履行的时间、地点和方式等协商进行变更。协商一致后，双方应签订书面的补充协议。</w:t>
      </w:r>
    </w:p>
    <w:p w14:paraId="684DB95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9.2 在不改变合同其他条款的前提下，甲方有权在合同价款百分之十的范围内追加与合同标的相同的货物、工程或服务，并就此与乙方签订补充合同，乙方不得拒绝。</w:t>
      </w:r>
    </w:p>
    <w:p w14:paraId="08C80C73">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9.3 除双方另行签署书面协议，并成为合同不可分割的一部分外，本合同条款不得有任何变更。</w:t>
      </w:r>
    </w:p>
    <w:p w14:paraId="6A041422">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10.合同中止与终止</w:t>
      </w:r>
    </w:p>
    <w:p w14:paraId="5F22B415">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10.1 合同的中止</w:t>
      </w:r>
    </w:p>
    <w:p w14:paraId="3A0C297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（1）合同在履行过程中，因采购计划调整，甲方可以要求中止履行，待计划确定后继续履行；</w:t>
      </w:r>
    </w:p>
    <w:p w14:paraId="5D60B21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（2）合同履行过程中因</w:t>
      </w:r>
      <w:r>
        <w:rPr>
          <w:rFonts w:hint="eastAsia" w:ascii="仿宋_GB2312" w:hAnsi="仿宋_GB2312" w:eastAsia="仿宋_GB2312" w:cs="仿宋_GB2312"/>
          <w:color w:val="auto"/>
          <w:sz w:val="28"/>
          <w:szCs w:val="28"/>
          <w:highlight w:val="none"/>
          <w:lang w:eastAsia="zh-CN"/>
        </w:rPr>
        <w:t>投标人</w:t>
      </w:r>
      <w:r>
        <w:rPr>
          <w:rFonts w:hint="eastAsia" w:ascii="仿宋_GB2312" w:hAnsi="仿宋_GB2312" w:eastAsia="仿宋_GB2312" w:cs="仿宋_GB2312"/>
          <w:color w:val="auto"/>
          <w:sz w:val="28"/>
          <w:szCs w:val="28"/>
          <w:highlight w:val="none"/>
        </w:rPr>
        <w:t>就采购过程或结果提起投诉的，甲方认为有必要或财政部门责令中止的，应当中止合同的履行。</w:t>
      </w:r>
    </w:p>
    <w:p w14:paraId="22A3FCF0">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10.2 合同的终止</w:t>
      </w:r>
    </w:p>
    <w:p w14:paraId="7C2750B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（1）合同因有效期限届满而终止；</w:t>
      </w:r>
    </w:p>
    <w:p w14:paraId="1FD8BDA1">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（2）乙方未能依照本合同约定条件履行合同，已构成根本性违约的，甲方有权终止本合同，并追究乙方的违约责任。</w:t>
      </w:r>
    </w:p>
    <w:p w14:paraId="3905AA8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（3）如果乙方丧失履约能力或被宣告破产，甲方可在任何时候以书面形式通知乙方终止合同而不给乙方补偿，并追究乙方的违约责任。</w:t>
      </w:r>
    </w:p>
    <w:p w14:paraId="3E2F20D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（4）如果乙方在履行合同过程中有不正当竞争行为，甲方有权解除合同，并按《中华人民共和国反不正当竞争法》规定追究其法律责任。</w:t>
      </w:r>
    </w:p>
    <w:p w14:paraId="68004A6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（5）如果合同的履行将损害国家利益或社会公共利益，甲方有权终止合同的履行。</w:t>
      </w:r>
    </w:p>
    <w:p w14:paraId="10658339">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11.合同转让和分包</w:t>
      </w:r>
    </w:p>
    <w:p w14:paraId="45B45708">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11.1 乙方不得以任何形式将合同转包。</w:t>
      </w:r>
    </w:p>
    <w:p w14:paraId="6BA0A965">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11.2 乙方未在响应文件中说明，且未经甲方书面同意，乙方不得将合同的主体、关键性工作分包给他人。</w:t>
      </w:r>
    </w:p>
    <w:p w14:paraId="5AB29232">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12.不可抗力</w:t>
      </w:r>
    </w:p>
    <w:p w14:paraId="3960AAC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12.1 不可抗力是指合同双方不可预见、不可避免、不可克服的自然灾害和社会事件。</w:t>
      </w:r>
    </w:p>
    <w:p w14:paraId="133F1431">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12.2 任何一方对由于不可抗力造成的部分或全部不能履行合同不承担违约责任。但迟延履行后发生不可抗力的，不能免除责任。</w:t>
      </w:r>
    </w:p>
    <w:p w14:paraId="3CB4097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12.3 遇有不可抗力的一方，应在三日内将事件的情况以书面形式通知另一方，并在事件发生后十日内，向另一方提交合同不能履行或部分不能履行或需要延期履行理由的报告。</w:t>
      </w:r>
    </w:p>
    <w:p w14:paraId="33DD6D8C">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13.解决争议的方法</w:t>
      </w:r>
    </w:p>
    <w:p w14:paraId="2DB5209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13.1 合同各方应通过友好协商，解决在执行合同过程中所发生的或与合同有关的一切争议。</w:t>
      </w:r>
    </w:p>
    <w:p w14:paraId="3871637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13.2 协商不成的可以按下列方式之一提起仲裁或诉讼：</w:t>
      </w:r>
    </w:p>
    <w:p w14:paraId="7081ED5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（1）向甲方所在地的兰州仲裁委员会提起仲裁；</w:t>
      </w:r>
    </w:p>
    <w:p w14:paraId="6E79556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13.3 如仲裁或诉讼事项不影响合同其它部分的履行，则在仲裁或诉讼期间，除正在进行仲裁或诉讼的部分外，合同的其它部分应继续执行。</w:t>
      </w:r>
    </w:p>
    <w:p w14:paraId="7DBFA9E8">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14.法律适用</w:t>
      </w:r>
    </w:p>
    <w:p w14:paraId="20F3E2F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14.1 本合同适用中华人民共和国现行法律、行政法规和规章，如合同条款与法律、行政法规和规章不一致的，按照法律、行政法规和规章修改本合同。</w:t>
      </w:r>
    </w:p>
    <w:p w14:paraId="58105E46">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15.通知</w:t>
      </w:r>
    </w:p>
    <w:p w14:paraId="2B8C472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15.1 本合同一方给另一方的通知均应采用书面形式，传真或快递送到本合同中规定的对方的地址和办理签收手续，</w:t>
      </w:r>
    </w:p>
    <w:p w14:paraId="201497CE">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15.2 通知以送到之日或通知书中规定的生效之日起生效，两者中以较迟之日为准。</w:t>
      </w:r>
    </w:p>
    <w:p w14:paraId="5B5B5AFA">
      <w:pPr>
        <w:keepNext w:val="0"/>
        <w:keepLines w:val="0"/>
        <w:pageBreakBefore w:val="0"/>
        <w:widowControl/>
        <w:kinsoku w:val="0"/>
        <w:wordWrap/>
        <w:overflowPunct/>
        <w:topLinePunct w:val="0"/>
        <w:autoSpaceDE w:val="0"/>
        <w:autoSpaceDN w:val="0"/>
        <w:bidi w:val="0"/>
        <w:adjustRightInd w:val="0"/>
        <w:snapToGrid w:val="0"/>
        <w:spacing w:line="360" w:lineRule="auto"/>
        <w:ind w:firstLine="562" w:firstLineChars="200"/>
        <w:textAlignment w:val="baseline"/>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16.合同生效</w:t>
      </w:r>
    </w:p>
    <w:p w14:paraId="46CF9E54">
      <w:pPr>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color w:val="auto"/>
          <w:sz w:val="28"/>
          <w:szCs w:val="28"/>
          <w:highlight w:val="none"/>
        </w:rPr>
        <w:t>16.1 本合同在各方签字并盖章后生效。</w:t>
      </w:r>
    </w:p>
    <w:p w14:paraId="270EF77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0"/>
        <w:rPr>
          <w:rFonts w:hint="eastAsia" w:ascii="仿宋_GB2312" w:hAnsi="仿宋_GB2312" w:eastAsia="仿宋_GB2312" w:cs="仿宋_GB2312"/>
          <w:b/>
          <w:bCs/>
          <w:color w:val="auto"/>
          <w:sz w:val="28"/>
          <w:szCs w:val="28"/>
          <w:highlight w:val="none"/>
        </w:rPr>
      </w:pPr>
      <w:bookmarkStart w:id="156" w:name="_Toc3586"/>
      <w:bookmarkStart w:id="157" w:name="_Toc30717"/>
      <w:bookmarkStart w:id="158" w:name="_Toc14993"/>
      <w:r>
        <w:rPr>
          <w:rFonts w:hint="eastAsia" w:ascii="仿宋_GB2312" w:hAnsi="仿宋_GB2312" w:eastAsia="仿宋_GB2312" w:cs="仿宋_GB2312"/>
          <w:b/>
          <w:bCs/>
          <w:color w:val="auto"/>
          <w:sz w:val="28"/>
          <w:szCs w:val="28"/>
          <w:highlight w:val="none"/>
        </w:rPr>
        <w:t>附件1：成交通知书</w:t>
      </w:r>
      <w:bookmarkEnd w:id="156"/>
      <w:bookmarkEnd w:id="157"/>
      <w:bookmarkEnd w:id="158"/>
    </w:p>
    <w:p w14:paraId="28423A3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b/>
          <w:bCs/>
          <w:color w:val="auto"/>
          <w:sz w:val="28"/>
          <w:szCs w:val="28"/>
          <w:highlight w:val="none"/>
        </w:rPr>
        <w:t>附件2：采购清单</w:t>
      </w:r>
    </w:p>
    <w:p w14:paraId="1175AD88">
      <w:bookmarkStart w:id="159" w:name="_GoBack"/>
      <w:bookmarkEnd w:id="15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2E59165A-471F-4AEE-8FE9-BA2B58D07650}"/>
  </w:font>
  <w:font w:name="仿宋_GB2312">
    <w:panose1 w:val="02010609030101010101"/>
    <w:charset w:val="86"/>
    <w:family w:val="modern"/>
    <w:pitch w:val="default"/>
    <w:sig w:usb0="00000001" w:usb1="080E0000" w:usb2="00000000" w:usb3="00000000" w:csb0="00040000" w:csb1="00000000"/>
    <w:embedRegular r:id="rId2" w:fontKey="{A7ED94F2-4604-4DBD-B736-4BB110DE3DA5}"/>
  </w:font>
  <w:font w:name="Cambria">
    <w:panose1 w:val="02040503050406030204"/>
    <w:charset w:val="00"/>
    <w:family w:val="roman"/>
    <w:pitch w:val="default"/>
    <w:sig w:usb0="E00006FF" w:usb1="420024FF" w:usb2="02000000" w:usb3="00000000" w:csb0="2000019F" w:csb1="00000000"/>
  </w:font>
  <w:font w:name="方正公文小标宋">
    <w:panose1 w:val="02000500000000000000"/>
    <w:charset w:val="86"/>
    <w:family w:val="auto"/>
    <w:pitch w:val="default"/>
    <w:sig w:usb0="A00002BF" w:usb1="38CF7CFA" w:usb2="00000016" w:usb3="00000000" w:csb0="00040001" w:csb1="00000000"/>
    <w:embedRegular r:id="rId3" w:fontKey="{8AA14B48-0AED-4F8B-92BA-7897A9575753}"/>
  </w:font>
  <w:font w:name="仿宋">
    <w:panose1 w:val="02010609060101010101"/>
    <w:charset w:val="86"/>
    <w:family w:val="modern"/>
    <w:pitch w:val="default"/>
    <w:sig w:usb0="800002BF" w:usb1="38CF7CFA" w:usb2="00000016" w:usb3="00000000" w:csb0="00040001" w:csb1="00000000"/>
    <w:embedRegular r:id="rId4" w:fontKey="{6FEBDB67-2818-4E06-89D3-644B6F2C6DC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NiMTY3NzJlMWFmMTUxOGU2ODliZDE0N2FkYWQzYmQifQ=="/>
  </w:docVars>
  <w:rsids>
    <w:rsidRoot w:val="00000000"/>
    <w:rsid w:val="1CE83F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qFormat="1" w:uiPriority="39"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34"/>
      <w:lang w:val="en-US" w:eastAsia="zh-CN" w:bidi="ar-SA"/>
    </w:rPr>
  </w:style>
  <w:style w:type="character" w:default="1" w:styleId="12">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paragraph" w:styleId="2">
    <w:name w:val="toc 7"/>
    <w:basedOn w:val="1"/>
    <w:next w:val="1"/>
    <w:unhideWhenUsed/>
    <w:qFormat/>
    <w:uiPriority w:val="39"/>
    <w:pPr>
      <w:ind w:left="2520" w:leftChars="1200"/>
    </w:pPr>
    <w:rPr>
      <w:rFonts w:ascii="Calibri" w:hAnsi="Calibri"/>
      <w:szCs w:val="22"/>
    </w:rPr>
  </w:style>
  <w:style w:type="paragraph" w:styleId="3">
    <w:name w:val="Body Text"/>
    <w:basedOn w:val="1"/>
    <w:next w:val="1"/>
    <w:unhideWhenUsed/>
    <w:qFormat/>
    <w:uiPriority w:val="0"/>
    <w:pPr>
      <w:spacing w:after="120"/>
    </w:pPr>
  </w:style>
  <w:style w:type="paragraph" w:styleId="4">
    <w:name w:val="Body Text Indent"/>
    <w:basedOn w:val="1"/>
    <w:next w:val="2"/>
    <w:qFormat/>
    <w:uiPriority w:val="0"/>
    <w:pPr>
      <w:ind w:firstLine="630"/>
    </w:pPr>
    <w:rPr>
      <w:rFonts w:asciiTheme="minorHAnsi" w:hAnsiTheme="minorHAnsi" w:eastAsiaTheme="minorEastAsia" w:cstheme="minorBidi"/>
      <w:kern w:val="2"/>
      <w:sz w:val="32"/>
      <w:szCs w:val="22"/>
    </w:rPr>
  </w:style>
  <w:style w:type="paragraph" w:styleId="5">
    <w:name w:val="Plain Text"/>
    <w:basedOn w:val="1"/>
    <w:qFormat/>
    <w:uiPriority w:val="99"/>
    <w:pPr>
      <w:adjustRightInd w:val="0"/>
      <w:snapToGrid w:val="0"/>
      <w:spacing w:line="360" w:lineRule="auto"/>
      <w:ind w:firstLine="482" w:firstLineChars="200"/>
    </w:pPr>
    <w:rPr>
      <w:rFonts w:hAnsi="Courier New" w:cs="Courier New" w:eastAsiaTheme="minorEastAsia"/>
      <w:kern w:val="2"/>
      <w:sz w:val="21"/>
      <w:szCs w:val="21"/>
    </w:rPr>
  </w:style>
  <w:style w:type="paragraph" w:styleId="6">
    <w:name w:val="Body Text Indent 2"/>
    <w:basedOn w:val="1"/>
    <w:qFormat/>
    <w:uiPriority w:val="0"/>
    <w:pPr>
      <w:ind w:firstLine="630"/>
    </w:pPr>
    <w:rPr>
      <w:rFonts w:asciiTheme="minorHAnsi" w:hAnsiTheme="minorHAnsi" w:eastAsiaTheme="minorEastAsia" w:cstheme="minorBidi"/>
      <w:kern w:val="2"/>
      <w:sz w:val="32"/>
      <w:szCs w:val="22"/>
    </w:r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Normal (Web)"/>
    <w:basedOn w:val="1"/>
    <w:qFormat/>
    <w:uiPriority w:val="0"/>
    <w:pPr>
      <w:widowControl/>
      <w:spacing w:before="100" w:beforeAutospacing="1" w:after="100" w:afterAutospacing="1"/>
      <w:jc w:val="left"/>
    </w:pPr>
    <w:rPr>
      <w:rFonts w:hAnsi="宋体" w:cs="宋体"/>
      <w:sz w:val="24"/>
      <w:szCs w:val="24"/>
    </w:rPr>
  </w:style>
  <w:style w:type="paragraph" w:styleId="9">
    <w:name w:val="Title"/>
    <w:basedOn w:val="1"/>
    <w:next w:val="1"/>
    <w:qFormat/>
    <w:uiPriority w:val="10"/>
    <w:pPr>
      <w:spacing w:before="240" w:after="60"/>
      <w:jc w:val="center"/>
      <w:outlineLvl w:val="0"/>
    </w:pPr>
    <w:rPr>
      <w:rFonts w:ascii="Cambria" w:hAnsi="Cambria" w:eastAsiaTheme="minorEastAsia" w:cstheme="minorBidi"/>
      <w:b/>
      <w:kern w:val="2"/>
      <w:sz w:val="32"/>
      <w:szCs w:val="24"/>
    </w:rPr>
  </w:style>
  <w:style w:type="paragraph" w:styleId="10">
    <w:name w:val="Body Text First Indent 2"/>
    <w:basedOn w:val="4"/>
    <w:next w:val="1"/>
    <w:unhideWhenUsed/>
    <w:qFormat/>
    <w:uiPriority w:val="99"/>
    <w:pPr>
      <w:ind w:firstLine="420"/>
    </w:pPr>
  </w:style>
  <w:style w:type="paragraph" w:customStyle="1" w:styleId="13">
    <w:name w:val="正文（缩进）"/>
    <w:basedOn w:val="1"/>
    <w:autoRedefine/>
    <w:qFormat/>
    <w:uiPriority w:val="0"/>
    <w:pPr>
      <w:spacing w:beforeLines="50" w:afterLines="50"/>
      <w:ind w:firstLine="480"/>
    </w:pPr>
    <w:rPr>
      <w:rFonts w:ascii="Times New Roman"/>
      <w:sz w:val="24"/>
    </w:rPr>
  </w:style>
  <w:style w:type="paragraph" w:customStyle="1" w:styleId="14">
    <w:name w:val="表格文字"/>
    <w:basedOn w:val="5"/>
    <w:next w:val="1"/>
    <w:qFormat/>
    <w:uiPriority w:val="0"/>
    <w:pPr>
      <w:adjustRightInd w:val="0"/>
      <w:spacing w:line="420" w:lineRule="atLeast"/>
      <w:ind w:firstLine="425"/>
      <w:jc w:val="left"/>
      <w:textAlignment w:val="baseline"/>
    </w:pPr>
    <w:rPr>
      <w:rFonts w:cs="Times New Roman"/>
      <w:kern w:val="0"/>
      <w:szCs w:val="20"/>
    </w:rPr>
  </w:style>
  <w:style w:type="paragraph" w:customStyle="1" w:styleId="15">
    <w:name w:val="标书正文"/>
    <w:basedOn w:val="16"/>
    <w:qFormat/>
    <w:uiPriority w:val="0"/>
    <w:pPr>
      <w:spacing w:line="560" w:lineRule="exact"/>
      <w:ind w:firstLine="200" w:firstLineChars="200"/>
      <w:jc w:val="center"/>
    </w:pPr>
    <w:rPr>
      <w:rFonts w:ascii="仿宋_GB2312" w:hAnsi="仿宋_GB2312" w:eastAsia="仿宋_GB2312"/>
      <w:b/>
      <w:sz w:val="36"/>
      <w:szCs w:val="20"/>
    </w:rPr>
  </w:style>
  <w:style w:type="paragraph" w:customStyle="1" w:styleId="16">
    <w:name w:val="正文11"/>
    <w:next w:val="10"/>
    <w:autoRedefine/>
    <w:qFormat/>
    <w:uiPriority w:val="0"/>
    <w:pPr>
      <w:widowControl w:val="0"/>
      <w:jc w:val="both"/>
    </w:pPr>
    <w:rPr>
      <w:rFonts w:ascii="Calibri" w:hAnsi="Calibri" w:eastAsia="宋体" w:cs="Times New Roman"/>
      <w:kern w:val="2"/>
      <w:sz w:val="21"/>
      <w:szCs w:val="22"/>
      <w:lang w:val="en-US" w:eastAsia="zh-CN" w:bidi="ar-SA"/>
    </w:rPr>
  </w:style>
  <w:style w:type="paragraph" w:styleId="17">
    <w:name w:val="List Paragraph"/>
    <w:basedOn w:val="1"/>
    <w:qFormat/>
    <w:uiPriority w:val="34"/>
    <w:pPr>
      <w:widowControl/>
      <w:spacing w:line="360" w:lineRule="auto"/>
      <w:ind w:firstLine="420" w:firstLineChars="200"/>
    </w:pPr>
    <w:rPr>
      <w:rFonts w:ascii="Calibri" w:hAnsi="Calibri"/>
      <w:kern w:val="2"/>
      <w:sz w:val="21"/>
      <w:szCs w:val="22"/>
    </w:rPr>
  </w:style>
  <w:style w:type="paragraph" w:customStyle="1" w:styleId="18">
    <w:name w:val="正文1"/>
    <w:autoRedefine/>
    <w:qFormat/>
    <w:uiPriority w:val="0"/>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customStyle="1" w:styleId="19">
    <w:name w:val="标题 21"/>
    <w:basedOn w:val="16"/>
    <w:next w:val="16"/>
    <w:autoRedefine/>
    <w:qFormat/>
    <w:uiPriority w:val="0"/>
    <w:pPr>
      <w:keepNext/>
      <w:keepLines/>
      <w:spacing w:before="260" w:after="260" w:line="408" w:lineRule="auto"/>
      <w:outlineLvl w:val="1"/>
    </w:pPr>
    <w:rPr>
      <w:rFonts w:ascii="Arial" w:hAnsi="Arial" w:eastAsia="黑体"/>
      <w:b/>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2025-09-29T04:37:28Z</dcterms:created>
  <dc:creator>19669</dc:creator>
  <cp:lastModifiedBy>采购服务中心001</cp:lastModifiedBy>
  <dcterms:modified xsi:type="dcterms:W3CDTF">2025-09-29T04:41:36Z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ADCDA4BBB3354386A7CC75E19A33417C_12</vt:lpwstr>
  </property>
</Properties>
</file>