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6BD2E">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w:t>
      </w:r>
      <w:r>
        <w:rPr>
          <w:rFonts w:hint="eastAsia" w:ascii="宋体" w:hAnsi="宋体" w:eastAsia="宋体" w:cs="宋体"/>
          <w:b/>
          <w:color w:val="auto"/>
          <w:kern w:val="0"/>
          <w:sz w:val="28"/>
          <w:szCs w:val="28"/>
          <w:lang w:val="en-US" w:eastAsia="zh-CN"/>
        </w:rPr>
        <w:t>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自循环冷却系统</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b w:val="0"/>
          <w:bCs/>
          <w:color w:val="auto"/>
          <w:sz w:val="24"/>
          <w:szCs w:val="24"/>
          <w:lang w:val="en-US" w:eastAsia="zh-CN"/>
        </w:rPr>
        <w:t>自循环冷却系统</w:t>
      </w:r>
    </w:p>
    <w:p w14:paraId="76625E4A">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val="0"/>
          <w:bCs/>
          <w:color w:val="auto"/>
          <w:sz w:val="24"/>
          <w:szCs w:val="24"/>
          <w:lang w:val="en-US" w:eastAsia="zh-CN"/>
        </w:rPr>
        <w:t xml:space="preserve">2套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b w:val="0"/>
          <w:bCs/>
          <w:color w:val="auto"/>
          <w:sz w:val="24"/>
          <w:szCs w:val="24"/>
          <w:lang w:val="en-US" w:eastAsia="zh-CN"/>
        </w:rPr>
        <w:t>JSK-50P（660/1140）-FS</w:t>
      </w:r>
    </w:p>
    <w:p w14:paraId="64A2E16B">
      <w:pPr>
        <w:pStyle w:val="2"/>
        <w:spacing w:line="240" w:lineRule="auto"/>
        <w:rPr>
          <w:rFonts w:hint="default"/>
          <w:lang w:val="en-US" w:eastAsia="zh-CN"/>
        </w:rPr>
      </w:pPr>
      <w:r>
        <w:rPr>
          <w:rFonts w:hint="eastAsia" w:ascii="宋体" w:hAnsi="宋体" w:eastAsia="宋体" w:cs="宋体"/>
          <w:b/>
          <w:color w:val="auto"/>
          <w:kern w:val="2"/>
          <w:sz w:val="24"/>
          <w:szCs w:val="24"/>
          <w:lang w:val="en-US" w:eastAsia="zh-CN" w:bidi="ar-SA"/>
        </w:rPr>
        <w:t>四、生产厂家：</w:t>
      </w:r>
      <w:r>
        <w:rPr>
          <w:rFonts w:hint="eastAsia" w:ascii="宋体" w:hAnsi="宋体" w:eastAsia="宋体" w:cs="宋体"/>
          <w:b w:val="0"/>
          <w:bCs/>
          <w:color w:val="auto"/>
          <w:kern w:val="2"/>
          <w:sz w:val="24"/>
          <w:szCs w:val="24"/>
          <w:lang w:val="en-US" w:eastAsia="zh-CN" w:bidi="ar-SA"/>
        </w:rPr>
        <w:t>江苏嘉轩</w:t>
      </w:r>
      <w:r>
        <w:rPr>
          <w:rFonts w:hint="eastAsia" w:ascii="宋体" w:hAnsi="宋体" w:eastAsia="宋体" w:cs="宋体"/>
          <w:bCs/>
          <w:color w:val="auto"/>
          <w:sz w:val="24"/>
          <w:szCs w:val="24"/>
          <w:lang w:val="en-US" w:eastAsia="zh-CN"/>
        </w:rPr>
        <w:t xml:space="preserve">  </w:t>
      </w:r>
    </w:p>
    <w:p w14:paraId="68A2E0AE">
      <w:pPr>
        <w:pStyle w:val="17"/>
        <w:keepNext w:val="0"/>
        <w:keepLines w:val="0"/>
        <w:pageBreakBefore w:val="0"/>
        <w:kinsoku/>
        <w:wordWrap/>
        <w:overflowPunct/>
        <w:topLinePunct w:val="0"/>
        <w:autoSpaceDE/>
        <w:autoSpaceDN/>
        <w:bidi w:val="0"/>
        <w:adjustRightInd/>
        <w:snapToGrid/>
        <w:spacing w:line="240" w:lineRule="auto"/>
        <w:ind w:firstLine="0" w:firstLineChars="0"/>
        <w:rPr>
          <w:rFonts w:hint="default" w:ascii="宋体" w:hAnsi="宋体" w:eastAsia="宋体" w:cs="宋体"/>
          <w:b/>
          <w:bCs/>
          <w:color w:val="auto"/>
          <w:sz w:val="24"/>
          <w:szCs w:val="24"/>
          <w:lang w:val="en-US" w:eastAsia="zh-CN"/>
        </w:rPr>
      </w:pPr>
      <w:bookmarkStart w:id="0" w:name="_Toc10196_WPSOffice_Level2"/>
      <w:bookmarkStart w:id="1" w:name="_Toc13536"/>
      <w:bookmarkStart w:id="2" w:name="_Toc6714"/>
      <w:r>
        <w:rPr>
          <w:rFonts w:hint="eastAsia" w:eastAsia="宋体" w:cs="宋体"/>
          <w:b/>
          <w:bCs/>
          <w:color w:val="auto"/>
          <w:sz w:val="24"/>
          <w:szCs w:val="24"/>
          <w:lang w:val="en-US" w:eastAsia="zh-CN"/>
        </w:rPr>
        <w:t>五、</w:t>
      </w:r>
      <w:r>
        <w:rPr>
          <w:rFonts w:hint="eastAsia" w:ascii="宋体" w:hAnsi="宋体" w:eastAsia="宋体" w:cs="宋体"/>
          <w:b/>
          <w:bCs/>
          <w:color w:val="auto"/>
          <w:sz w:val="24"/>
          <w:szCs w:val="24"/>
        </w:rPr>
        <w:t>自循环冷却系统</w:t>
      </w:r>
      <w:r>
        <w:rPr>
          <w:rFonts w:hint="eastAsia" w:eastAsia="宋体" w:cs="宋体"/>
          <w:b/>
          <w:bCs/>
          <w:color w:val="auto"/>
          <w:sz w:val="24"/>
          <w:szCs w:val="24"/>
          <w:lang w:val="en-US" w:eastAsia="zh-CN"/>
        </w:rPr>
        <w:t>技术参数及技术要求：</w:t>
      </w:r>
    </w:p>
    <w:p w14:paraId="6FD5D2DB">
      <w:pPr>
        <w:tabs>
          <w:tab w:val="left" w:pos="900"/>
        </w:tabs>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color w:val="auto"/>
          <w:sz w:val="24"/>
          <w:szCs w:val="24"/>
        </w:rPr>
        <w:t>永磁同步电动滚筒</w:t>
      </w:r>
      <w:r>
        <w:rPr>
          <w:rFonts w:hint="eastAsia" w:ascii="宋体" w:hAnsi="宋体" w:eastAsia="宋体" w:cs="宋体"/>
          <w:color w:val="auto"/>
          <w:sz w:val="24"/>
          <w:szCs w:val="24"/>
          <w:lang w:eastAsia="zh-CN"/>
        </w:rPr>
        <w:t>配套</w:t>
      </w:r>
      <w:r>
        <w:rPr>
          <w:rFonts w:hint="eastAsia" w:ascii="宋体" w:hAnsi="宋体" w:eastAsia="宋体" w:cs="宋体"/>
          <w:b w:val="0"/>
          <w:bCs w:val="0"/>
          <w:color w:val="auto"/>
          <w:sz w:val="24"/>
          <w:szCs w:val="24"/>
        </w:rPr>
        <w:t>自循环水冷却装置</w:t>
      </w:r>
      <w:r>
        <w:rPr>
          <w:rFonts w:hint="eastAsia" w:ascii="宋体" w:hAnsi="宋体" w:eastAsia="宋体" w:cs="宋体"/>
          <w:b w:val="0"/>
          <w:bCs w:val="0"/>
          <w:color w:val="auto"/>
          <w:sz w:val="24"/>
          <w:szCs w:val="24"/>
          <w:lang w:val="en-US" w:eastAsia="zh-CN"/>
        </w:rPr>
        <w:t>（</w:t>
      </w:r>
      <w:r>
        <w:rPr>
          <w:rFonts w:hint="eastAsia" w:ascii="宋体" w:hAnsi="宋体"/>
          <w:color w:val="auto"/>
          <w:sz w:val="24"/>
        </w:rPr>
        <w:t>含接头管件、水管</w:t>
      </w:r>
      <w:r>
        <w:rPr>
          <w:rFonts w:hint="eastAsia" w:ascii="宋体" w:hAnsi="宋体" w:eastAsia="宋体" w:cs="宋体"/>
          <w:b w:val="0"/>
          <w:bCs w:val="0"/>
          <w:color w:val="auto"/>
          <w:sz w:val="24"/>
          <w:szCs w:val="24"/>
          <w:lang w:val="en-US" w:eastAsia="zh-CN"/>
        </w:rPr>
        <w:t>）</w:t>
      </w:r>
      <w:r>
        <w:rPr>
          <w:rFonts w:hint="eastAsia" w:ascii="宋体" w:hAnsi="宋体"/>
          <w:color w:val="auto"/>
          <w:sz w:val="24"/>
        </w:rPr>
        <w:t>，</w:t>
      </w:r>
      <w:r>
        <w:rPr>
          <w:rFonts w:hint="eastAsia" w:ascii="宋体" w:hAnsi="宋体" w:eastAsia="宋体" w:cs="宋体"/>
          <w:sz w:val="24"/>
          <w:szCs w:val="24"/>
        </w:rPr>
        <w:t>冷却方式为水冷，水冷却方式须符合GB/T1993-1993中的水冷式规定。需提供滚筒冷却装置跟水循环冷却器，冷却器具有恒温，恒压，恒流的技术。</w:t>
      </w:r>
    </w:p>
    <w:p w14:paraId="4F25C3A4">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水泵流量6m³/h，扬程18m；</w:t>
      </w:r>
    </w:p>
    <w:p w14:paraId="340435A2">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水箱容量必须：≤200L；材质：不锈钢 加过滤器</w:t>
      </w:r>
    </w:p>
    <w:p w14:paraId="4E2EEDBE">
      <w:pPr>
        <w:widowControl/>
        <w:numPr>
          <w:ilvl w:val="0"/>
          <w:numId w:val="0"/>
        </w:numPr>
        <w:spacing w:line="360" w:lineRule="auto"/>
        <w:ind w:left="420" w:leftChars="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水泵和风扇电机使用防爆电机，防爆标志（ExdIMb），电压660/1140V</w:t>
      </w:r>
      <w:r>
        <w:rPr>
          <w:rFonts w:hint="eastAsia" w:ascii="宋体" w:hAnsi="宋体" w:eastAsia="宋体" w:cs="宋体"/>
          <w:sz w:val="24"/>
          <w:szCs w:val="24"/>
          <w:lang w:eastAsia="zh-CN"/>
        </w:rPr>
        <w:t>，</w:t>
      </w:r>
    </w:p>
    <w:p w14:paraId="6A8F1C49">
      <w:pPr>
        <w:widowControl/>
        <w:numPr>
          <w:ilvl w:val="0"/>
          <w:numId w:val="0"/>
        </w:num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rPr>
        <w:t>并附带产品合格证、防爆合格证、矿用产品安全标志证书</w:t>
      </w:r>
      <w:r>
        <w:rPr>
          <w:rFonts w:hint="eastAsia" w:ascii="宋体" w:hAnsi="宋体" w:eastAsia="宋体" w:cs="宋体"/>
          <w:sz w:val="24"/>
          <w:szCs w:val="24"/>
          <w:lang w:eastAsia="zh-CN"/>
        </w:rPr>
        <w:t>。</w:t>
      </w:r>
    </w:p>
    <w:p w14:paraId="021227DA">
      <w:pPr>
        <w:widowControl/>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水箱配有温度、液位显示器，量程0-300℃</w:t>
      </w:r>
      <w:r>
        <w:rPr>
          <w:rFonts w:hint="eastAsia" w:ascii="宋体" w:hAnsi="宋体" w:eastAsia="宋体" w:cs="宋体"/>
          <w:sz w:val="24"/>
          <w:szCs w:val="24"/>
          <w:lang w:eastAsia="zh-CN"/>
        </w:rPr>
        <w:t>。</w:t>
      </w:r>
    </w:p>
    <w:p w14:paraId="4C8FC8D7">
      <w:pPr>
        <w:widowControl/>
        <w:numPr>
          <w:ilvl w:val="0"/>
          <w:numId w:val="0"/>
        </w:num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环境温度≤0℃运行时，需根据环境温度在循环冷却水中适当增加乙二醇溶液。</w:t>
      </w:r>
    </w:p>
    <w:p w14:paraId="63821E1F">
      <w:pPr>
        <w:widowControl/>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自循环水冷却器动力电源由需方提供1140V双回路电磁启动器并控制其启停</w:t>
      </w:r>
      <w:r>
        <w:rPr>
          <w:rFonts w:hint="eastAsia" w:ascii="宋体" w:hAnsi="宋体" w:eastAsia="宋体" w:cs="宋体"/>
          <w:sz w:val="24"/>
          <w:szCs w:val="24"/>
          <w:lang w:eastAsia="zh-CN"/>
        </w:rPr>
        <w:t>。</w:t>
      </w:r>
    </w:p>
    <w:p w14:paraId="3FAD3EAA">
      <w:pPr>
        <w:widowControl/>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接入</w:t>
      </w:r>
      <w:r>
        <w:rPr>
          <w:rFonts w:hint="eastAsia" w:ascii="宋体" w:hAnsi="宋体" w:eastAsia="宋体" w:cs="宋体"/>
          <w:sz w:val="24"/>
          <w:szCs w:val="24"/>
          <w:lang w:eastAsia="zh-CN"/>
        </w:rPr>
        <w:t>变频器控制</w:t>
      </w:r>
      <w:r>
        <w:rPr>
          <w:rFonts w:hint="eastAsia" w:ascii="宋体" w:hAnsi="宋体" w:eastAsia="宋体" w:cs="宋体"/>
          <w:sz w:val="24"/>
          <w:szCs w:val="24"/>
        </w:rPr>
        <w:t>系统进行集中控制</w:t>
      </w:r>
      <w:r>
        <w:rPr>
          <w:rFonts w:hint="eastAsia" w:ascii="宋体" w:hAnsi="宋体" w:eastAsia="宋体" w:cs="宋体"/>
          <w:sz w:val="24"/>
          <w:szCs w:val="24"/>
          <w:lang w:eastAsia="zh-CN"/>
        </w:rPr>
        <w:t>。</w:t>
      </w:r>
    </w:p>
    <w:p w14:paraId="15E02808">
      <w:pPr>
        <w:widowControl/>
        <w:numPr>
          <w:ilvl w:val="0"/>
          <w:numId w:val="0"/>
        </w:numPr>
        <w:spacing w:line="360" w:lineRule="auto"/>
        <w:ind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自循环水冷却器冷却水管路，采用高压橡胶软管，耐压不得低于4MPa</w:t>
      </w:r>
      <w:r>
        <w:rPr>
          <w:rFonts w:hint="eastAsia" w:ascii="宋体" w:hAnsi="宋体" w:eastAsia="宋体" w:cs="宋体"/>
          <w:sz w:val="24"/>
          <w:szCs w:val="24"/>
          <w:lang w:eastAsia="zh-CN"/>
        </w:rPr>
        <w:t>。</w:t>
      </w:r>
    </w:p>
    <w:p w14:paraId="77555C5C">
      <w:pPr>
        <w:widowControl/>
        <w:numPr>
          <w:ilvl w:val="0"/>
          <w:numId w:val="0"/>
        </w:numPr>
        <w:spacing w:line="360" w:lineRule="auto"/>
        <w:ind w:left="420" w:leftChars="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自循环水冷却器内部安装有止回阀防止冷却水倒流</w:t>
      </w:r>
      <w:r>
        <w:rPr>
          <w:rFonts w:hint="eastAsia" w:ascii="宋体" w:hAnsi="宋体" w:eastAsia="宋体" w:cs="宋体"/>
          <w:sz w:val="24"/>
          <w:szCs w:val="24"/>
          <w:lang w:eastAsia="zh-CN"/>
        </w:rPr>
        <w:t>。</w:t>
      </w:r>
    </w:p>
    <w:p w14:paraId="3BBD33BF">
      <w:pPr>
        <w:widowControl/>
        <w:numPr>
          <w:ilvl w:val="0"/>
          <w:numId w:val="0"/>
        </w:numPr>
        <w:spacing w:line="360" w:lineRule="auto"/>
        <w:ind w:left="420" w:leftChars="0"/>
        <w:jc w:val="left"/>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rPr>
        <w:t>循环冷却水后期使用中需要增加高效、低毒、环境友好型的阻垢缓蚀剂</w:t>
      </w:r>
      <w:r>
        <w:rPr>
          <w:rFonts w:hint="eastAsia" w:ascii="宋体" w:hAnsi="宋体" w:eastAsia="宋体" w:cs="宋体"/>
          <w:sz w:val="24"/>
          <w:szCs w:val="24"/>
          <w:lang w:eastAsia="zh-CN"/>
        </w:rPr>
        <w:t>。</w:t>
      </w:r>
    </w:p>
    <w:p w14:paraId="38C9716C">
      <w:pPr>
        <w:widowControl/>
        <w:numPr>
          <w:ilvl w:val="0"/>
          <w:numId w:val="0"/>
        </w:numPr>
        <w:spacing w:line="360" w:lineRule="auto"/>
        <w:ind w:left="420" w:leftChars="0"/>
        <w:jc w:val="left"/>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水冷却系统耐压不得低于4MPa，进出水孔的安装尺寸为：ZG1(内螺纹)，</w:t>
      </w:r>
    </w:p>
    <w:p w14:paraId="0DA3B4C3">
      <w:pPr>
        <w:widowControl/>
        <w:numPr>
          <w:ilvl w:val="0"/>
          <w:numId w:val="0"/>
        </w:numPr>
        <w:spacing w:line="360" w:lineRule="auto"/>
        <w:jc w:val="left"/>
        <w:rPr>
          <w:rFonts w:hint="eastAsia" w:ascii="宋体" w:hAnsi="宋体" w:eastAsia="宋体" w:cs="宋体"/>
          <w:b/>
          <w:bCs w:val="0"/>
          <w:sz w:val="24"/>
          <w:szCs w:val="24"/>
          <w:lang w:val="en-US" w:eastAsia="zh-CN"/>
        </w:rPr>
      </w:pPr>
      <w:r>
        <w:rPr>
          <w:rFonts w:hint="eastAsia" w:ascii="宋体" w:hAnsi="宋体" w:eastAsia="宋体" w:cs="宋体"/>
          <w:sz w:val="24"/>
          <w:szCs w:val="24"/>
        </w:rPr>
        <w:t>配备快速接头。</w:t>
      </w:r>
    </w:p>
    <w:p w14:paraId="152AA912">
      <w:pPr>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13</w:t>
      </w:r>
      <w:r>
        <w:rPr>
          <w:rFonts w:hint="eastAsia" w:ascii="宋体" w:hAnsi="宋体" w:eastAsia="宋体" w:cs="宋体"/>
          <w:color w:val="auto"/>
          <w:sz w:val="24"/>
          <w:szCs w:val="24"/>
        </w:rPr>
        <w:t>）水冷系统中循环水泵及冷却风机的电机均具有煤安证和防爆证。</w:t>
      </w:r>
      <w:bookmarkEnd w:id="0"/>
      <w:bookmarkEnd w:id="1"/>
      <w:bookmarkEnd w:id="2"/>
    </w:p>
    <w:p w14:paraId="070BC26F">
      <w:pPr>
        <w:pStyle w:val="2"/>
        <w:spacing w:line="360" w:lineRule="auto"/>
        <w:rPr>
          <w:rFonts w:hint="default" w:eastAsia="宋体"/>
          <w:lang w:val="en-US" w:eastAsia="zh-CN"/>
        </w:rPr>
      </w:pPr>
      <w:r>
        <w:rPr>
          <w:rFonts w:hint="eastAsia" w:ascii="宋体" w:hAnsi="宋体" w:eastAsia="宋体" w:cs="宋体"/>
          <w:color w:val="auto"/>
          <w:sz w:val="24"/>
          <w:szCs w:val="24"/>
          <w:lang w:val="en-US" w:eastAsia="zh-CN"/>
        </w:rPr>
        <w:t xml:space="preserve">    （14）配置冷却水箱启动开关</w:t>
      </w:r>
      <w:bookmarkStart w:id="3" w:name="_GoBack"/>
      <w:bookmarkEnd w:id="3"/>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六、售后服务和承诺</w:t>
      </w:r>
    </w:p>
    <w:p w14:paraId="522B195D">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乙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25F917A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588DA27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5172186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26BC352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393A9776">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eastAsia" w:ascii="宋体" w:hAnsi="宋体" w:eastAsia="宋体" w:cs="宋体"/>
          <w:color w:val="auto"/>
          <w:sz w:val="24"/>
          <w:szCs w:val="24"/>
          <w:lang w:val="en-US" w:eastAsia="zh-CN"/>
        </w:rPr>
      </w:pPr>
    </w:p>
    <w:p w14:paraId="694EEC99">
      <w:pPr>
        <w:keepNext w:val="0"/>
        <w:keepLines w:val="0"/>
        <w:pageBreakBefore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lang w:val="en-US" w:eastAsia="zh-CN"/>
        </w:rPr>
      </w:pPr>
    </w:p>
    <w:p w14:paraId="38DA0396">
      <w:pPr>
        <w:pStyle w:val="19"/>
        <w:spacing w:line="400" w:lineRule="exact"/>
        <w:jc w:val="both"/>
        <w:rPr>
          <w:rFonts w:hint="eastAsia" w:ascii="宋体" w:hAnsi="宋体" w:eastAsia="宋体" w:cs="宋体"/>
          <w:color w:val="auto"/>
          <w:sz w:val="24"/>
          <w:szCs w:val="24"/>
          <w:lang w:val="en-US" w:eastAsia="zh-CN"/>
        </w:rPr>
      </w:pPr>
    </w:p>
    <w:p w14:paraId="7BE552E5">
      <w:pPr>
        <w:pStyle w:val="19"/>
        <w:spacing w:line="400" w:lineRule="exact"/>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2AD174B"/>
    <w:rsid w:val="139040F6"/>
    <w:rsid w:val="143F7286"/>
    <w:rsid w:val="155B0E57"/>
    <w:rsid w:val="15C30E48"/>
    <w:rsid w:val="16302F6C"/>
    <w:rsid w:val="163D0467"/>
    <w:rsid w:val="192E33B5"/>
    <w:rsid w:val="19365E81"/>
    <w:rsid w:val="193810EA"/>
    <w:rsid w:val="194F5107"/>
    <w:rsid w:val="19B4308D"/>
    <w:rsid w:val="19E65E70"/>
    <w:rsid w:val="1ADD0FB6"/>
    <w:rsid w:val="1AE8650F"/>
    <w:rsid w:val="1C575F09"/>
    <w:rsid w:val="1CD427EF"/>
    <w:rsid w:val="1E0B1AF9"/>
    <w:rsid w:val="1E722A27"/>
    <w:rsid w:val="20947775"/>
    <w:rsid w:val="20D64A1E"/>
    <w:rsid w:val="213B5F00"/>
    <w:rsid w:val="21A846F5"/>
    <w:rsid w:val="21D273E5"/>
    <w:rsid w:val="24450581"/>
    <w:rsid w:val="2A7F01A0"/>
    <w:rsid w:val="2AA65345"/>
    <w:rsid w:val="2AD13FE0"/>
    <w:rsid w:val="2BAF7421"/>
    <w:rsid w:val="2C675E30"/>
    <w:rsid w:val="2D112D06"/>
    <w:rsid w:val="2D326A77"/>
    <w:rsid w:val="31800540"/>
    <w:rsid w:val="319832D5"/>
    <w:rsid w:val="32EB51E3"/>
    <w:rsid w:val="33C304ED"/>
    <w:rsid w:val="33E829CE"/>
    <w:rsid w:val="34E97C37"/>
    <w:rsid w:val="34F414DD"/>
    <w:rsid w:val="35301D0A"/>
    <w:rsid w:val="361E6007"/>
    <w:rsid w:val="382F655C"/>
    <w:rsid w:val="38AF73EA"/>
    <w:rsid w:val="38E14048"/>
    <w:rsid w:val="39077435"/>
    <w:rsid w:val="3A1416F4"/>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5E72A8B"/>
    <w:rsid w:val="46B71E44"/>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1E6120"/>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1050</Words>
  <Characters>1119</Characters>
  <Lines>35</Lines>
  <Paragraphs>9</Paragraphs>
  <TotalTime>0</TotalTime>
  <ScaleCrop>false</ScaleCrop>
  <LinksUpToDate>false</LinksUpToDate>
  <CharactersWithSpaces>1175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2025-07-15T08:01:34Z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