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8C471">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lang w:val="en-US" w:eastAsia="zh-CN"/>
        </w:rPr>
        <w:t>王家山煤矿分公司</w:t>
      </w:r>
      <w:r>
        <w:rPr>
          <w:rFonts w:hint="eastAsia" w:ascii="宋体" w:hAnsi="宋体" w:eastAsia="宋体" w:cs="宋体"/>
          <w:b/>
          <w:color w:val="auto"/>
          <w:kern w:val="0"/>
          <w:sz w:val="28"/>
          <w:szCs w:val="28"/>
        </w:rPr>
        <w:t>胶带</w:t>
      </w:r>
      <w:r>
        <w:rPr>
          <w:rFonts w:hint="eastAsia" w:ascii="宋体" w:hAnsi="宋体" w:eastAsia="宋体" w:cs="宋体"/>
          <w:b/>
          <w:color w:val="auto"/>
          <w:kern w:val="0"/>
          <w:sz w:val="28"/>
          <w:szCs w:val="28"/>
          <w:lang w:eastAsia="zh-CN"/>
        </w:rPr>
        <w:t>输送</w:t>
      </w:r>
      <w:r>
        <w:rPr>
          <w:rFonts w:hint="eastAsia" w:ascii="宋体" w:hAnsi="宋体" w:eastAsia="宋体" w:cs="宋体"/>
          <w:b/>
          <w:color w:val="auto"/>
          <w:kern w:val="0"/>
          <w:sz w:val="28"/>
          <w:szCs w:val="28"/>
        </w:rPr>
        <w:t>机</w:t>
      </w:r>
    </w:p>
    <w:p w14:paraId="4A8AB24F">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lang w:val="en-US" w:eastAsia="zh-CN"/>
        </w:rPr>
        <w:t>矿用隔爆兼本质安全型变频器</w:t>
      </w:r>
      <w:r>
        <w:rPr>
          <w:rFonts w:hint="eastAsia" w:ascii="宋体" w:hAnsi="宋体" w:eastAsia="宋体" w:cs="宋体"/>
          <w:b/>
          <w:color w:val="auto"/>
          <w:kern w:val="0"/>
          <w:sz w:val="28"/>
          <w:szCs w:val="28"/>
        </w:rPr>
        <w:t>技术</w:t>
      </w:r>
      <w:r>
        <w:rPr>
          <w:rFonts w:hint="eastAsia" w:ascii="宋体" w:hAnsi="宋体" w:eastAsia="宋体" w:cs="宋体"/>
          <w:b/>
          <w:color w:val="auto"/>
          <w:kern w:val="0"/>
          <w:sz w:val="28"/>
          <w:szCs w:val="28"/>
          <w:lang w:val="en-US" w:eastAsia="zh-CN"/>
        </w:rPr>
        <w:t>参数</w:t>
      </w:r>
    </w:p>
    <w:p w14:paraId="337D8033">
      <w:pPr>
        <w:keepNext w:val="0"/>
        <w:keepLines w:val="0"/>
        <w:pageBreakBefore w:val="0"/>
        <w:kinsoku/>
        <w:wordWrap/>
        <w:overflowPunct/>
        <w:topLinePunct w:val="0"/>
        <w:autoSpaceDE/>
        <w:autoSpaceDN/>
        <w:bidi w:val="0"/>
        <w:adjustRightInd/>
        <w:snapToGrid/>
        <w:spacing w:line="500" w:lineRule="exact"/>
        <w:rPr>
          <w:rFonts w:hint="default" w:ascii="宋体" w:hAnsi="宋体" w:eastAsia="宋体" w:cs="宋体"/>
          <w:b w:val="0"/>
          <w:bCs/>
          <w:color w:val="auto"/>
          <w:sz w:val="24"/>
          <w:szCs w:val="24"/>
          <w:lang w:val="en-US" w:eastAsia="zh-CN"/>
        </w:rPr>
      </w:pP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设备名称：</w:t>
      </w:r>
      <w:r>
        <w:rPr>
          <w:rFonts w:hint="eastAsia" w:ascii="宋体" w:hAnsi="宋体" w:eastAsia="宋体" w:cs="宋体"/>
          <w:sz w:val="24"/>
          <w:szCs w:val="24"/>
          <w:lang w:val="en-US" w:eastAsia="zh-CN"/>
        </w:rPr>
        <w:t>矿用隔爆兼本质安全型交流变频器</w:t>
      </w:r>
    </w:p>
    <w:p w14:paraId="3C7FF217">
      <w:pPr>
        <w:keepNext w:val="0"/>
        <w:keepLines w:val="0"/>
        <w:pageBreakBefore w:val="0"/>
        <w:kinsoku/>
        <w:wordWrap/>
        <w:overflowPunct/>
        <w:topLinePunct w:val="0"/>
        <w:autoSpaceDE/>
        <w:autoSpaceDN/>
        <w:bidi w:val="0"/>
        <w:adjustRightInd/>
        <w:snapToGrid/>
        <w:spacing w:line="360" w:lineRule="auto"/>
        <w:rPr>
          <w:rFonts w:hint="default" w:ascii="宋体" w:hAnsi="宋体" w:eastAsia="宋体" w:cs="宋体"/>
          <w:sz w:val="24"/>
          <w:szCs w:val="24"/>
          <w:lang w:val="en-US" w:eastAsia="zh-CN"/>
        </w:rPr>
      </w:pPr>
      <w:r>
        <w:rPr>
          <w:rFonts w:hint="eastAsia" w:ascii="宋体" w:hAnsi="宋体" w:eastAsia="宋体" w:cs="宋体"/>
          <w:b/>
          <w:color w:val="auto"/>
          <w:sz w:val="24"/>
          <w:szCs w:val="24"/>
          <w:lang w:val="en-US" w:eastAsia="zh-CN"/>
        </w:rPr>
        <w:t>二、</w:t>
      </w:r>
      <w:r>
        <w:rPr>
          <w:rFonts w:hint="eastAsia" w:ascii="宋体" w:hAnsi="宋体" w:eastAsia="宋体" w:cs="宋体"/>
          <w:b/>
          <w:color w:val="auto"/>
          <w:sz w:val="24"/>
          <w:szCs w:val="24"/>
        </w:rPr>
        <w:t>购置数量：</w:t>
      </w:r>
      <w:r>
        <w:rPr>
          <w:rFonts w:hint="eastAsia" w:ascii="宋体" w:hAnsi="宋体" w:eastAsia="宋体" w:cs="宋体"/>
          <w:b/>
          <w:color w:val="auto"/>
          <w:sz w:val="24"/>
          <w:szCs w:val="24"/>
          <w:lang w:val="en-US" w:eastAsia="zh-CN"/>
        </w:rPr>
        <w:t>1</w:t>
      </w:r>
      <w:r>
        <w:rPr>
          <w:rFonts w:hint="eastAsia" w:ascii="宋体" w:hAnsi="宋体" w:eastAsia="宋体" w:cs="宋体"/>
          <w:b w:val="0"/>
          <w:bCs/>
          <w:color w:val="auto"/>
          <w:sz w:val="24"/>
          <w:szCs w:val="24"/>
          <w:lang w:val="en-US" w:eastAsia="zh-CN"/>
        </w:rPr>
        <w:t xml:space="preserve">套  </w:t>
      </w:r>
      <w:r>
        <w:rPr>
          <w:rFonts w:hint="eastAsia" w:ascii="宋体" w:hAnsi="宋体" w:eastAsia="宋体" w:cs="宋体"/>
          <w:b w:val="0"/>
          <w:bCs/>
          <w:color w:val="auto"/>
          <w:sz w:val="24"/>
          <w:szCs w:val="24"/>
          <w:lang w:val="en-US" w:eastAsia="zh-CN"/>
        </w:rPr>
        <w:br w:type="textWrapping"/>
      </w:r>
      <w:r>
        <w:rPr>
          <w:rFonts w:hint="eastAsia" w:ascii="宋体" w:hAnsi="宋体" w:eastAsia="宋体" w:cs="宋体"/>
          <w:b/>
          <w:color w:val="auto"/>
          <w:sz w:val="24"/>
          <w:szCs w:val="24"/>
          <w:lang w:val="en-US" w:eastAsia="zh-CN"/>
        </w:rPr>
        <w:t>三、设备型号</w:t>
      </w:r>
      <w:r>
        <w:rPr>
          <w:rFonts w:hint="eastAsia" w:ascii="宋体" w:hAnsi="宋体" w:eastAsia="宋体" w:cs="宋体"/>
          <w:b/>
          <w:color w:val="auto"/>
          <w:sz w:val="24"/>
          <w:szCs w:val="24"/>
        </w:rPr>
        <w:t>：</w:t>
      </w:r>
      <w:r>
        <w:rPr>
          <w:rFonts w:hint="eastAsia" w:ascii="宋体" w:hAnsi="宋体" w:eastAsia="宋体" w:cs="宋体"/>
          <w:sz w:val="24"/>
          <w:szCs w:val="24"/>
          <w:lang w:val="en-US" w:eastAsia="zh-CN"/>
        </w:rPr>
        <w:t>BPJ-400/1140K</w:t>
      </w:r>
    </w:p>
    <w:p w14:paraId="1B9ACB53">
      <w:pPr>
        <w:keepNext w:val="0"/>
        <w:keepLines w:val="0"/>
        <w:pageBreakBefore w:val="0"/>
        <w:kinsoku/>
        <w:wordWrap/>
        <w:overflowPunct/>
        <w:topLinePunct w:val="0"/>
        <w:autoSpaceDE/>
        <w:autoSpaceDN/>
        <w:bidi w:val="0"/>
        <w:adjustRightInd/>
        <w:snapToGrid/>
        <w:spacing w:line="500" w:lineRule="exact"/>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w:t>
      </w:r>
      <w:r>
        <w:rPr>
          <w:rFonts w:hint="eastAsia" w:ascii="宋体" w:hAnsi="宋体" w:eastAsia="宋体" w:cs="宋体"/>
          <w:b/>
          <w:bCs/>
          <w:sz w:val="24"/>
          <w:szCs w:val="24"/>
          <w:lang w:val="en-US" w:eastAsia="zh-CN"/>
        </w:rPr>
        <w:t>矿用隔爆兼本质安全型交流变频器</w:t>
      </w:r>
      <w:r>
        <w:rPr>
          <w:rFonts w:hint="eastAsia" w:ascii="宋体" w:hAnsi="宋体" w:eastAsia="宋体" w:cs="宋体"/>
          <w:b/>
          <w:color w:val="auto"/>
          <w:sz w:val="24"/>
          <w:szCs w:val="24"/>
          <w:lang w:val="en-US" w:eastAsia="zh-CN"/>
        </w:rPr>
        <w:t>技术参数及技术要求</w:t>
      </w:r>
      <w:r>
        <w:rPr>
          <w:rFonts w:hint="eastAsia" w:ascii="宋体" w:hAnsi="宋体" w:eastAsia="宋体" w:cs="宋体"/>
          <w:b/>
          <w:color w:val="auto"/>
          <w:sz w:val="24"/>
          <w:szCs w:val="24"/>
        </w:rPr>
        <w:t>：</w:t>
      </w:r>
    </w:p>
    <w:p w14:paraId="1D4528C7">
      <w:pPr>
        <w:spacing w:line="360" w:lineRule="auto"/>
        <w:rPr>
          <w:rFonts w:ascii="宋体" w:hAnsi="宋体" w:eastAsia="宋体" w:cs="宋体"/>
          <w:color w:val="auto"/>
          <w:sz w:val="24"/>
          <w:szCs w:val="24"/>
        </w:rPr>
      </w:pPr>
      <w:r>
        <w:rPr>
          <w:rFonts w:hint="eastAsia" w:ascii="宋体" w:hAnsi="宋体" w:eastAsia="宋体" w:cs="宋体"/>
          <w:color w:val="auto"/>
          <w:sz w:val="24"/>
          <w:szCs w:val="24"/>
        </w:rPr>
        <w:t>1.变频器主要性能参数</w:t>
      </w:r>
    </w:p>
    <w:p w14:paraId="08A9393F">
      <w:pPr>
        <w:pStyle w:val="17"/>
        <w:ind w:firstLineChars="175"/>
        <w:rPr>
          <w:rFonts w:hint="eastAsia" w:eastAsia="宋体" w:cs="宋体"/>
          <w:color w:val="auto"/>
          <w:sz w:val="24"/>
          <w:szCs w:val="24"/>
          <w:lang w:val="en-US" w:eastAsia="zh-CN"/>
        </w:rPr>
      </w:pPr>
      <w:r>
        <w:rPr>
          <w:rFonts w:hint="eastAsia" w:eastAsia="宋体" w:cs="宋体"/>
          <w:color w:val="auto"/>
          <w:sz w:val="24"/>
          <w:szCs w:val="24"/>
        </w:rPr>
        <w:t>（1）规格型号：BPJ-</w:t>
      </w:r>
      <w:r>
        <w:rPr>
          <w:rFonts w:hint="eastAsia" w:eastAsia="宋体" w:cs="宋体"/>
          <w:color w:val="auto"/>
          <w:sz w:val="24"/>
          <w:szCs w:val="24"/>
          <w:lang w:val="en-US" w:eastAsia="zh-CN"/>
        </w:rPr>
        <w:t>400</w:t>
      </w:r>
      <w:r>
        <w:rPr>
          <w:rFonts w:hint="eastAsia" w:eastAsia="宋体" w:cs="宋体"/>
          <w:color w:val="auto"/>
          <w:sz w:val="24"/>
          <w:szCs w:val="24"/>
        </w:rPr>
        <w:t>/1140</w:t>
      </w:r>
      <w:r>
        <w:rPr>
          <w:rFonts w:hint="eastAsia" w:eastAsia="宋体" w:cs="宋体"/>
          <w:color w:val="auto"/>
          <w:sz w:val="24"/>
          <w:szCs w:val="24"/>
          <w:lang w:val="en-US" w:eastAsia="zh-CN"/>
        </w:rPr>
        <w:t>K</w:t>
      </w:r>
    </w:p>
    <w:p w14:paraId="1D9B1FF9">
      <w:pPr>
        <w:pStyle w:val="17"/>
        <w:ind w:firstLineChars="175"/>
        <w:rPr>
          <w:rFonts w:eastAsia="宋体" w:cs="宋体"/>
          <w:color w:val="auto"/>
          <w:sz w:val="24"/>
          <w:szCs w:val="24"/>
        </w:rPr>
      </w:pPr>
      <w:r>
        <w:rPr>
          <w:rFonts w:hint="eastAsia" w:eastAsia="宋体" w:cs="宋体"/>
          <w:color w:val="auto"/>
          <w:sz w:val="24"/>
          <w:szCs w:val="24"/>
        </w:rPr>
        <w:t>（2）额定功率:</w:t>
      </w:r>
      <w:r>
        <w:rPr>
          <w:rFonts w:hint="eastAsia" w:eastAsia="宋体" w:cs="宋体"/>
          <w:color w:val="auto"/>
          <w:sz w:val="24"/>
          <w:szCs w:val="24"/>
          <w:lang w:val="en-US" w:eastAsia="zh-CN"/>
        </w:rPr>
        <w:t xml:space="preserve"> 400</w:t>
      </w:r>
      <w:r>
        <w:rPr>
          <w:rFonts w:hint="eastAsia" w:eastAsia="宋体" w:cs="宋体"/>
          <w:color w:val="auto"/>
          <w:sz w:val="24"/>
          <w:szCs w:val="24"/>
        </w:rPr>
        <w:t>KW</w:t>
      </w:r>
    </w:p>
    <w:p w14:paraId="62B5059F">
      <w:pPr>
        <w:pStyle w:val="17"/>
        <w:ind w:firstLineChars="175"/>
        <w:rPr>
          <w:rFonts w:eastAsia="宋体" w:cs="宋体"/>
          <w:color w:val="auto"/>
          <w:sz w:val="24"/>
          <w:szCs w:val="24"/>
        </w:rPr>
      </w:pPr>
      <w:r>
        <w:rPr>
          <w:rFonts w:hint="eastAsia" w:eastAsia="宋体" w:cs="宋体"/>
          <w:color w:val="auto"/>
          <w:sz w:val="24"/>
          <w:szCs w:val="24"/>
        </w:rPr>
        <w:t>（3）额定电压：1140V</w:t>
      </w:r>
    </w:p>
    <w:p w14:paraId="155FECE1">
      <w:pPr>
        <w:pStyle w:val="17"/>
        <w:ind w:firstLineChars="175"/>
        <w:rPr>
          <w:rFonts w:eastAsia="宋体" w:cs="宋体"/>
          <w:color w:val="auto"/>
          <w:sz w:val="24"/>
          <w:szCs w:val="24"/>
        </w:rPr>
      </w:pPr>
      <w:r>
        <w:rPr>
          <w:rFonts w:hint="eastAsia" w:eastAsia="宋体" w:cs="宋体"/>
          <w:color w:val="auto"/>
          <w:sz w:val="24"/>
          <w:szCs w:val="24"/>
        </w:rPr>
        <w:t>（4）额定电流：</w:t>
      </w:r>
      <w:r>
        <w:rPr>
          <w:rFonts w:hint="eastAsia" w:eastAsia="宋体" w:cs="宋体"/>
          <w:color w:val="auto"/>
          <w:sz w:val="24"/>
          <w:szCs w:val="24"/>
          <w:lang w:val="en-US" w:eastAsia="zh-CN"/>
        </w:rPr>
        <w:t>250</w:t>
      </w:r>
      <w:r>
        <w:rPr>
          <w:rFonts w:hint="eastAsia" w:eastAsia="宋体" w:cs="宋体"/>
          <w:color w:val="auto"/>
          <w:sz w:val="24"/>
          <w:szCs w:val="24"/>
        </w:rPr>
        <w:t>A</w:t>
      </w:r>
    </w:p>
    <w:p w14:paraId="0C27FBA3">
      <w:pPr>
        <w:pStyle w:val="17"/>
        <w:ind w:firstLineChars="175"/>
        <w:rPr>
          <w:rFonts w:eastAsia="宋体" w:cs="宋体"/>
          <w:color w:val="auto"/>
          <w:sz w:val="24"/>
          <w:szCs w:val="24"/>
        </w:rPr>
      </w:pPr>
      <w:r>
        <w:rPr>
          <w:rFonts w:hint="eastAsia" w:eastAsia="宋体" w:cs="宋体"/>
          <w:color w:val="auto"/>
          <w:sz w:val="24"/>
          <w:szCs w:val="24"/>
        </w:rPr>
        <w:t>（5）输出频率范围：0—120Hz</w:t>
      </w:r>
    </w:p>
    <w:p w14:paraId="70648DFE">
      <w:pPr>
        <w:pStyle w:val="17"/>
        <w:ind w:firstLineChars="175"/>
        <w:rPr>
          <w:rFonts w:eastAsia="宋体" w:cs="宋体"/>
          <w:color w:val="auto"/>
          <w:sz w:val="24"/>
          <w:szCs w:val="24"/>
        </w:rPr>
      </w:pPr>
      <w:r>
        <w:rPr>
          <w:rFonts w:hint="eastAsia" w:eastAsia="宋体" w:cs="宋体"/>
          <w:color w:val="auto"/>
          <w:sz w:val="24"/>
          <w:szCs w:val="24"/>
        </w:rPr>
        <w:t>（6）输入频率：50Hz</w:t>
      </w:r>
    </w:p>
    <w:p w14:paraId="676BE326">
      <w:pPr>
        <w:pStyle w:val="17"/>
        <w:ind w:firstLineChars="175"/>
        <w:rPr>
          <w:rFonts w:eastAsia="宋体" w:cs="宋体"/>
          <w:color w:val="auto"/>
          <w:sz w:val="24"/>
          <w:szCs w:val="24"/>
        </w:rPr>
      </w:pPr>
      <w:r>
        <w:rPr>
          <w:rFonts w:hint="eastAsia" w:eastAsia="宋体" w:cs="宋体"/>
          <w:color w:val="auto"/>
          <w:sz w:val="24"/>
          <w:szCs w:val="24"/>
        </w:rPr>
        <w:t>（7）冷却方式：水冷</w:t>
      </w:r>
    </w:p>
    <w:p w14:paraId="24A7E3CC">
      <w:pPr>
        <w:pStyle w:val="17"/>
        <w:ind w:firstLineChars="175"/>
        <w:rPr>
          <w:rFonts w:eastAsia="宋体" w:cs="宋体"/>
          <w:color w:val="auto"/>
          <w:sz w:val="24"/>
          <w:szCs w:val="24"/>
        </w:rPr>
      </w:pPr>
      <w:r>
        <w:rPr>
          <w:rFonts w:hint="eastAsia" w:eastAsia="宋体" w:cs="宋体"/>
          <w:color w:val="auto"/>
          <w:sz w:val="24"/>
          <w:szCs w:val="24"/>
        </w:rPr>
        <w:t>（8）运行方式：</w:t>
      </w:r>
      <w:r>
        <w:rPr>
          <w:rFonts w:hint="eastAsia" w:eastAsia="宋体" w:cs="宋体"/>
          <w:color w:val="auto"/>
          <w:sz w:val="24"/>
          <w:szCs w:val="24"/>
          <w:lang w:eastAsia="zh-CN"/>
        </w:rPr>
        <w:t>四</w:t>
      </w:r>
      <w:r>
        <w:rPr>
          <w:rFonts w:hint="eastAsia" w:eastAsia="宋体" w:cs="宋体"/>
          <w:color w:val="auto"/>
          <w:sz w:val="24"/>
          <w:szCs w:val="24"/>
        </w:rPr>
        <w:t>象限</w:t>
      </w:r>
    </w:p>
    <w:p w14:paraId="3C94FB2B">
      <w:pPr>
        <w:pStyle w:val="17"/>
        <w:ind w:firstLineChars="175"/>
        <w:rPr>
          <w:rFonts w:eastAsia="宋体" w:cs="宋体"/>
          <w:color w:val="auto"/>
          <w:sz w:val="24"/>
          <w:szCs w:val="24"/>
        </w:rPr>
      </w:pPr>
      <w:r>
        <w:rPr>
          <w:rFonts w:hint="eastAsia" w:eastAsia="宋体" w:cs="宋体"/>
          <w:color w:val="auto"/>
          <w:sz w:val="24"/>
          <w:szCs w:val="24"/>
        </w:rPr>
        <w:t>（10）控制方式：直接转矩控制</w:t>
      </w:r>
    </w:p>
    <w:p w14:paraId="2CDB5652">
      <w:pPr>
        <w:pStyle w:val="17"/>
        <w:ind w:firstLine="0" w:firstLineChars="0"/>
        <w:rPr>
          <w:rFonts w:eastAsia="宋体" w:cs="宋体"/>
          <w:color w:val="auto"/>
          <w:sz w:val="24"/>
          <w:szCs w:val="24"/>
        </w:rPr>
      </w:pPr>
      <w:r>
        <w:rPr>
          <w:rFonts w:hint="eastAsia" w:eastAsia="宋体" w:cs="宋体"/>
          <w:color w:val="auto"/>
          <w:sz w:val="24"/>
          <w:szCs w:val="24"/>
        </w:rPr>
        <w:t>2.技术指标</w:t>
      </w:r>
    </w:p>
    <w:p w14:paraId="6750E4BF">
      <w:pPr>
        <w:tabs>
          <w:tab w:val="left" w:pos="6404"/>
          <w:tab w:val="left" w:pos="7713"/>
          <w:tab w:val="left" w:pos="8869"/>
          <w:tab w:val="left" w:pos="10236"/>
        </w:tabs>
        <w:spacing w:line="360" w:lineRule="auto"/>
        <w:ind w:firstLine="420" w:firstLineChars="175"/>
        <w:rPr>
          <w:rFonts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（1）保证在5%～100%的速度范围内，调速精度不大于0.5%。</w:t>
      </w:r>
    </w:p>
    <w:p w14:paraId="64A9B910">
      <w:pPr>
        <w:tabs>
          <w:tab w:val="left" w:pos="6404"/>
          <w:tab w:val="left" w:pos="7713"/>
          <w:tab w:val="left" w:pos="8869"/>
          <w:tab w:val="left" w:pos="10236"/>
        </w:tabs>
        <w:spacing w:line="360" w:lineRule="auto"/>
        <w:ind w:firstLine="420" w:firstLineChars="175"/>
        <w:rPr>
          <w:rFonts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（2）永磁电动滚筒起停机时间0～1800S连续可调。</w:t>
      </w:r>
    </w:p>
    <w:p w14:paraId="4AFD85EA">
      <w:pPr>
        <w:tabs>
          <w:tab w:val="left" w:pos="6404"/>
          <w:tab w:val="left" w:pos="7713"/>
          <w:tab w:val="left" w:pos="8869"/>
          <w:tab w:val="left" w:pos="10236"/>
        </w:tabs>
        <w:spacing w:line="360" w:lineRule="auto"/>
        <w:ind w:firstLine="420" w:firstLineChars="175"/>
        <w:rPr>
          <w:rFonts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（3）变频器设有过压、欠压、过流、过载、缺相、功率元器件过热等保护。</w:t>
      </w:r>
    </w:p>
    <w:p w14:paraId="789A6B4F">
      <w:pPr>
        <w:tabs>
          <w:tab w:val="left" w:pos="6404"/>
          <w:tab w:val="left" w:pos="7713"/>
          <w:tab w:val="left" w:pos="8869"/>
          <w:tab w:val="left" w:pos="10236"/>
        </w:tabs>
        <w:spacing w:line="360" w:lineRule="auto"/>
        <w:ind w:firstLine="420" w:firstLineChars="175"/>
        <w:rPr>
          <w:rFonts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（4）变频器设备主要元器件，如IGBT、控制器等主要部件均为进口产品。</w:t>
      </w:r>
    </w:p>
    <w:p w14:paraId="0664C0CF">
      <w:pPr>
        <w:tabs>
          <w:tab w:val="left" w:pos="6404"/>
          <w:tab w:val="left" w:pos="7713"/>
          <w:tab w:val="left" w:pos="8869"/>
          <w:tab w:val="left" w:pos="10236"/>
        </w:tabs>
        <w:spacing w:line="360" w:lineRule="auto"/>
        <w:ind w:firstLine="420" w:firstLineChars="175"/>
        <w:rPr>
          <w:rFonts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（5）内置无速度传感器矢量控制技术完成交流永磁同步电动滚筒的变频调速</w:t>
      </w:r>
    </w:p>
    <w:p w14:paraId="18175FE4">
      <w:pPr>
        <w:tabs>
          <w:tab w:val="left" w:pos="6404"/>
          <w:tab w:val="left" w:pos="7713"/>
          <w:tab w:val="left" w:pos="8869"/>
          <w:tab w:val="left" w:pos="10236"/>
        </w:tabs>
        <w:spacing w:line="360" w:lineRule="auto"/>
        <w:ind w:firstLine="420" w:firstLineChars="175"/>
        <w:rPr>
          <w:rFonts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（6）内置功率平衡功能软件模块，实现各变频器之间主从功率平衡控制。平衡精度≤3%。具备低速验带功能。</w:t>
      </w:r>
    </w:p>
    <w:p w14:paraId="6140C0F8">
      <w:pPr>
        <w:tabs>
          <w:tab w:val="left" w:pos="6404"/>
          <w:tab w:val="left" w:pos="7713"/>
          <w:tab w:val="left" w:pos="8869"/>
          <w:tab w:val="left" w:pos="10236"/>
        </w:tabs>
        <w:spacing w:line="360" w:lineRule="auto"/>
        <w:ind w:firstLine="420" w:firstLineChars="175"/>
        <w:rPr>
          <w:rFonts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（7）逆变触发信号采用光纤隔离，直流回路采用无感设计，使用矿用隔爆变频器叠层母排技术。</w:t>
      </w:r>
    </w:p>
    <w:p w14:paraId="632F4639">
      <w:pPr>
        <w:tabs>
          <w:tab w:val="left" w:pos="6404"/>
          <w:tab w:val="left" w:pos="7713"/>
          <w:tab w:val="left" w:pos="8869"/>
          <w:tab w:val="left" w:pos="10236"/>
        </w:tabs>
        <w:spacing w:line="360" w:lineRule="auto"/>
        <w:ind w:firstLine="420" w:firstLineChars="175"/>
        <w:rPr>
          <w:rFonts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8）具有强大的内部软件故障以及外部线路故障的诊断功能，在诊断到故障的情况下，装置首先自动停止工作，防止故障进一步扩大，同时，进行准确的故障报警；能对所发生的故障类型及故障提供指示，便于运行人员和检修人员能辨别和解决所出现的问题；</w:t>
      </w:r>
    </w:p>
    <w:p w14:paraId="5443758E">
      <w:pPr>
        <w:tabs>
          <w:tab w:val="left" w:pos="6404"/>
          <w:tab w:val="left" w:pos="7713"/>
          <w:tab w:val="left" w:pos="8869"/>
          <w:tab w:val="left" w:pos="10236"/>
        </w:tabs>
        <w:spacing w:line="360" w:lineRule="auto"/>
        <w:ind w:firstLine="420" w:firstLineChars="175"/>
        <w:rPr>
          <w:rFonts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（9）变频器装置配有中文操作界面，可显示驱动永磁同步电动机输出电流、电压、功率、频率、温度等参数。</w:t>
      </w:r>
    </w:p>
    <w:p w14:paraId="5CE3A3B8">
      <w:pPr>
        <w:tabs>
          <w:tab w:val="left" w:pos="6404"/>
          <w:tab w:val="left" w:pos="7713"/>
          <w:tab w:val="left" w:pos="8869"/>
          <w:tab w:val="left" w:pos="10236"/>
        </w:tabs>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（10）具有根据负载情况自动优化励磁电流，实现自动节能运行功能。</w:t>
      </w:r>
    </w:p>
    <w:p w14:paraId="34900E0C">
      <w:pPr>
        <w:pStyle w:val="10"/>
        <w:spacing w:line="360" w:lineRule="auto"/>
        <w:ind w:left="0" w:leftChars="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（11）具有自动限流功能：快速电流自动抑制能力，确保在加速过程中及冲击性负载下不发生过流故障。</w:t>
      </w:r>
    </w:p>
    <w:p w14:paraId="14EFBDCE">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（12）变频器到永磁同步电动机动力电缆长度不超500米。</w:t>
      </w:r>
    </w:p>
    <w:p w14:paraId="6B861386">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（13）远程I/O控制：通过变频器内置接口板的I/O接口，与远程开关量信号相连，实现远程控制；</w:t>
      </w:r>
    </w:p>
    <w:p w14:paraId="6327A121">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（14）具有多机联动自动负载平衡功能：根据负载自动调整各永磁电动滚筒输出频率，使出力相同。</w:t>
      </w:r>
    </w:p>
    <w:p w14:paraId="69CD49E9">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（15）具有上、下限频率设定，频率跳跃运行，反转运行限制，转差频率补偿，自动稳压运行功能。</w:t>
      </w:r>
    </w:p>
    <w:p w14:paraId="42FA2983">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（16）隔爆门上设置10寸液晶彩色中文信息屏，主电路合闸指示，控制电路合闸指示，直流电压，输出频率，永磁电动滚筒电流，控制器故障指示，欠压指示，过载指示等。故障存储记录大于1000条。</w:t>
      </w:r>
    </w:p>
    <w:p w14:paraId="27828351">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（17）具有8个开关量输入和2个开关量输出，2个模拟信号量输入、2个模拟信号量输出功能。</w:t>
      </w:r>
    </w:p>
    <w:p w14:paraId="3F2C6719">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（18）具有永磁电动滚筒PT100测温元件、温度检测模块和保护功能。</w:t>
      </w:r>
    </w:p>
    <w:p w14:paraId="40130317">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（19）所有主回路接触器为真空式接触器。</w:t>
      </w:r>
    </w:p>
    <w:p w14:paraId="7E67C064">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（20）主回路电容使用薄膜电容(非电解电容)，提高寿命。</w:t>
      </w:r>
    </w:p>
    <w:p w14:paraId="18ACBDD9">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（21）具有短路，过载，输入过压、欠压，功率模块故障保护，功率模块过热保护、缺相、中点电压平衡等完善的硬件和软件保护措施。</w:t>
      </w:r>
    </w:p>
    <w:p w14:paraId="356A1E71">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（22）采用全数字控制，以先进的双数字处理器DSP为核心，采集外围的所有相关数字量和模拟量信息，通过完善的程序判断处理后，对系统实施快速、正确、可靠的控制。</w:t>
      </w:r>
    </w:p>
    <w:p w14:paraId="77BC9AAD">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（23）采用</w:t>
      </w:r>
      <w:r>
        <w:rPr>
          <w:rFonts w:hint="eastAsia" w:ascii="宋体" w:hAnsi="宋体" w:eastAsia="宋体" w:cs="宋体"/>
          <w:bCs/>
          <w:color w:val="auto"/>
          <w:kern w:val="32"/>
          <w:sz w:val="24"/>
          <w:szCs w:val="24"/>
          <w:lang w:eastAsia="zh-CN"/>
        </w:rPr>
        <w:t>三</w:t>
      </w:r>
      <w:r>
        <w:rPr>
          <w:rFonts w:hint="eastAsia" w:ascii="宋体" w:hAnsi="宋体" w:eastAsia="宋体" w:cs="宋体"/>
          <w:bCs/>
          <w:color w:val="auto"/>
          <w:kern w:val="32"/>
          <w:sz w:val="24"/>
          <w:szCs w:val="24"/>
        </w:rPr>
        <w:t>电平主电路拓扑结构，减小变频器回路技术故障点，有利于变频驱动系统的可靠性。</w:t>
      </w:r>
    </w:p>
    <w:p w14:paraId="56E49F36">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（25）结构、闭锁、电路及方案设计制作功能及技术要求未列出部分的标准按中华人民共和国国家标准（GB）或国际电工标准（IEC）及行业规范执行。</w:t>
      </w:r>
    </w:p>
    <w:p w14:paraId="190AE768">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（24）变频器具有标准通讯协议的RS485通讯接口Modbus通讯协议，提供点表、开放通讯协议，并负责配合自动化厂家接入自动化系统，提供现场技术培训。</w:t>
      </w:r>
    </w:p>
    <w:p w14:paraId="509F837C">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 xml:space="preserve">（25）自动化厂家接入自动化系统，提供现场技术培训。      </w:t>
      </w:r>
    </w:p>
    <w:p w14:paraId="600DD5FD">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26）变频器具备接入矿井自动化控制系统所需通讯接口和开关、模拟量输出节点。通讯协议开放，能读取内部数据。开关量输出点满足对变频器的启动、停止、复位、故障点读取功能。电流、电压、频率等模拟量输出节点满足0-20mA电流信号格式或0-10V电压信号格式。</w:t>
      </w:r>
    </w:p>
    <w:p w14:paraId="589E55AB">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（27）具有电压失速防止功能：保证减速过程中不发生过电压。</w:t>
      </w:r>
    </w:p>
    <w:p w14:paraId="0B541E6A">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（28）起动防冲击控制(“Ｓ”化曲线给定)，在启动制动的过程中使皮带抖动最小，加、减速度变化率≤0.4m/s2，可方便的设置多段速。</w:t>
      </w:r>
    </w:p>
    <w:p w14:paraId="670E3862">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 xml:space="preserve">（29）变频器主要功率器件IGBT选用德国原装进口英飞凌（Infineon），整流单元选用德国原装进口英飞凌（Infineon）；接触器选用德国西门子最新系列产品； </w:t>
      </w:r>
    </w:p>
    <w:p w14:paraId="76E659BD">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（30）变频器具有手动停送电，通过隔离开关可无负荷切断变频器进线电源。</w:t>
      </w:r>
    </w:p>
    <w:p w14:paraId="1A32A314">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（31）变频装置系统有过压、过流、欠压、短路、过载、过热、缺相等保护功能。</w:t>
      </w:r>
    </w:p>
    <w:p w14:paraId="1090A6D4">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（32） 变频器具有以太网通讯接口与第三方通讯的技术要求，完成变频器运行参数（变频器频率、电流、电压、功率、永磁电动滚筒参数、故障信息等）的数据上传，实现变频器的本地控制。</w:t>
      </w:r>
    </w:p>
    <w:p w14:paraId="3DB20385">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（33）变频器能够显示变频器所有参数/变量、报警细节、故障分析结果。可利用操作员终端做系统调试，进行各种控制操作和参数设置并应具有电流、电压、频率、力矩、功率显示功能；</w:t>
      </w:r>
    </w:p>
    <w:p w14:paraId="494CF58B">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34）变频装置控制系统采用数字微处理器控制器(DSP)，具有就地监控方式和远方监控方式。在就地监控方式下，通过变频器自身的控制器进行控制，可进行就地人工启动、停止变频器，可以调整转速、频率；直接通过变频器自身的控制器实现故障显示、功能设定、参数设定等，以便于现场使用和维护。</w:t>
      </w:r>
    </w:p>
    <w:p w14:paraId="11CF723A">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（35）设备模块化设计，具有良好的互换性，任何一台故障不影响其他设备的正常运行；</w:t>
      </w:r>
    </w:p>
    <w:p w14:paraId="20D3470D">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（36）具有过电流、堵转、过速、绝缘检测等几十种完善的保护；</w:t>
      </w:r>
    </w:p>
    <w:p w14:paraId="1FBB4427">
      <w:pPr>
        <w:spacing w:line="360" w:lineRule="auto"/>
        <w:ind w:firstLine="420" w:firstLineChars="175"/>
        <w:rPr>
          <w:rFonts w:ascii="宋体" w:hAnsi="宋体" w:eastAsia="宋体" w:cs="宋体"/>
          <w:bCs/>
          <w:color w:val="auto"/>
          <w:kern w:val="32"/>
          <w:sz w:val="24"/>
          <w:szCs w:val="24"/>
        </w:rPr>
      </w:pPr>
      <w:r>
        <w:rPr>
          <w:rFonts w:hint="eastAsia" w:ascii="宋体" w:hAnsi="宋体" w:eastAsia="宋体" w:cs="宋体"/>
          <w:bCs/>
          <w:color w:val="auto"/>
          <w:kern w:val="32"/>
          <w:sz w:val="24"/>
          <w:szCs w:val="24"/>
        </w:rPr>
        <w:t>（37）宽广的输入电压范围，电压允许波动范围-15%～+15%；</w:t>
      </w:r>
    </w:p>
    <w:p w14:paraId="5AD7752A">
      <w:pPr>
        <w:pStyle w:val="17"/>
        <w:ind w:firstLineChars="175"/>
        <w:rPr>
          <w:rFonts w:eastAsia="宋体" w:cs="宋体"/>
          <w:bCs/>
          <w:color w:val="auto"/>
          <w:kern w:val="32"/>
          <w:sz w:val="24"/>
          <w:szCs w:val="24"/>
        </w:rPr>
      </w:pPr>
      <w:r>
        <w:rPr>
          <w:rFonts w:hint="eastAsia" w:eastAsia="宋体" w:cs="宋体"/>
          <w:bCs/>
          <w:color w:val="auto"/>
          <w:kern w:val="32"/>
          <w:sz w:val="24"/>
          <w:szCs w:val="24"/>
        </w:rPr>
        <w:t>（38）精准的频率控制，频率波动不超过±1 %，可在0～50Hz（最大200Hz）任意设定频率，调速精度为0.1Hz；</w:t>
      </w:r>
    </w:p>
    <w:p w14:paraId="3B1B17F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lang w:val="en-US" w:eastAsia="zh-CN"/>
        </w:rPr>
      </w:pPr>
      <w:bookmarkStart w:id="0" w:name="_GoBack"/>
      <w:bookmarkEnd w:id="0"/>
      <w:r>
        <w:rPr>
          <w:rFonts w:hint="eastAsia" w:ascii="宋体" w:hAnsi="宋体" w:eastAsia="宋体" w:cs="宋体"/>
          <w:b/>
          <w:bCs/>
          <w:color w:val="auto"/>
          <w:sz w:val="24"/>
          <w:szCs w:val="24"/>
          <w:lang w:val="en-US" w:eastAsia="zh-CN"/>
        </w:rPr>
        <w:t>五、售后服务和承诺</w:t>
      </w:r>
    </w:p>
    <w:p w14:paraId="191302D9">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货方产品按国标及行业标准执行，产品质量实行“三包”。发货时随机附带的文件包含但不限于：完整安装使用说明书、产品合格证、出厂检验报告，产品防爆、煤安标志证书的资质文件；供货方承诺提供的防爆、安标资质编号及备案文件完全匹配技术协议所签订的产品，如有违反，所造成的直接或间接的一切责任将由供货方承担，如对需方生产及其他设备造成的经济损失的，供货方应无条件赔偿相关损失。</w:t>
      </w:r>
    </w:p>
    <w:p w14:paraId="074EBDB5">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2、供货方承诺在货到送货地点或现场时，按照需方要求时间内安排技术人员提供免费技术指导、培训，免费指导设备调试安装。</w:t>
      </w:r>
    </w:p>
    <w:p w14:paraId="1D9545A9">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3、供货方在接到需方技术服务申请后，于2小时内快速响应，并在24小时内安排人员达到现场解决问题，直至问题解决。</w:t>
      </w:r>
    </w:p>
    <w:p w14:paraId="33A3277B">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4、因供货方供应的设备不符合技术协议中所规定的条款及产品质质量原因造成使用问题，供货方应无条件免费维修或更换，如对需方生产及其他设备造成的经济损失的，供货方应无条件赔偿相关损失。</w:t>
      </w:r>
    </w:p>
    <w:p w14:paraId="0B69AD14">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5、当需方对供货方提供的设备和材料有质量疑问时，经双方协商后可进行必要的材质、性能、可靠性等品质检验。解释双方应相互配合，不应无故拖延。</w:t>
      </w:r>
    </w:p>
    <w:p w14:paraId="18175D67">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6、整机质保期为设备在使用现场验收合格并正式投入使用后12个月，质保期外优先提供服务，并以优惠价格提供备品备件。</w:t>
      </w:r>
    </w:p>
    <w:p w14:paraId="18E799CA">
      <w:pPr>
        <w:pStyle w:val="19"/>
        <w:spacing w:line="400" w:lineRule="exact"/>
        <w:jc w:val="both"/>
        <w:rPr>
          <w:rFonts w:hint="eastAsia" w:ascii="宋体" w:hAnsi="宋体" w:eastAsia="宋体" w:cs="宋体"/>
          <w:color w:val="auto"/>
          <w:sz w:val="24"/>
          <w:szCs w:val="24"/>
          <w:lang w:val="en-US" w:eastAsia="zh-CN"/>
        </w:rPr>
      </w:pPr>
    </w:p>
    <w:p w14:paraId="46E852DD">
      <w:pPr>
        <w:pageBreakBefore w:val="0"/>
        <w:kinsoku/>
        <w:wordWrap/>
        <w:overflowPunct/>
        <w:topLinePunct w:val="0"/>
        <w:bidi w:val="0"/>
        <w:adjustRightInd/>
        <w:snapToGrid/>
        <w:spacing w:line="360" w:lineRule="auto"/>
        <w:rPr>
          <w:rFonts w:hint="eastAsia" w:ascii="仿宋_GB2312" w:hAnsi="仿宋_GB2312" w:eastAsia="仿宋_GB2312" w:cs="仿宋_GB2312"/>
          <w:color w:val="auto"/>
          <w:sz w:val="24"/>
          <w:szCs w:val="24"/>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D1B3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6722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476722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0ED"/>
    <w:rsid w:val="00016F27"/>
    <w:rsid w:val="00037E8C"/>
    <w:rsid w:val="000874EA"/>
    <w:rsid w:val="000D11AF"/>
    <w:rsid w:val="00146A5D"/>
    <w:rsid w:val="00192E8A"/>
    <w:rsid w:val="003B667D"/>
    <w:rsid w:val="003D641C"/>
    <w:rsid w:val="00410DEA"/>
    <w:rsid w:val="0043796D"/>
    <w:rsid w:val="004737F8"/>
    <w:rsid w:val="004A06FE"/>
    <w:rsid w:val="005153BB"/>
    <w:rsid w:val="005F20ED"/>
    <w:rsid w:val="006956D2"/>
    <w:rsid w:val="006E1756"/>
    <w:rsid w:val="007248FC"/>
    <w:rsid w:val="00732901"/>
    <w:rsid w:val="00734D15"/>
    <w:rsid w:val="00745265"/>
    <w:rsid w:val="007F287D"/>
    <w:rsid w:val="007F331B"/>
    <w:rsid w:val="008F3229"/>
    <w:rsid w:val="00907DF0"/>
    <w:rsid w:val="00957FC0"/>
    <w:rsid w:val="009B1B50"/>
    <w:rsid w:val="00A8056C"/>
    <w:rsid w:val="00AA0A4A"/>
    <w:rsid w:val="00B139AC"/>
    <w:rsid w:val="00BB191F"/>
    <w:rsid w:val="00CC55B5"/>
    <w:rsid w:val="00D646C3"/>
    <w:rsid w:val="00E0579E"/>
    <w:rsid w:val="00EA75D7"/>
    <w:rsid w:val="00F862DA"/>
    <w:rsid w:val="00FC1F2D"/>
    <w:rsid w:val="00FE32CF"/>
    <w:rsid w:val="01303AC5"/>
    <w:rsid w:val="02D22FDF"/>
    <w:rsid w:val="02DA6C6B"/>
    <w:rsid w:val="041A162E"/>
    <w:rsid w:val="04CC2CD9"/>
    <w:rsid w:val="05257DE5"/>
    <w:rsid w:val="056E23A3"/>
    <w:rsid w:val="05C515F4"/>
    <w:rsid w:val="06E329B1"/>
    <w:rsid w:val="07BB6D3F"/>
    <w:rsid w:val="0B4B2E71"/>
    <w:rsid w:val="0CE972C6"/>
    <w:rsid w:val="0D4F354A"/>
    <w:rsid w:val="0D862175"/>
    <w:rsid w:val="0E175161"/>
    <w:rsid w:val="0E3E1F17"/>
    <w:rsid w:val="0E4B1F3E"/>
    <w:rsid w:val="0E5C414B"/>
    <w:rsid w:val="0E73247C"/>
    <w:rsid w:val="0EEF19D2"/>
    <w:rsid w:val="0F4672D5"/>
    <w:rsid w:val="0FAB0EE6"/>
    <w:rsid w:val="0FC3693D"/>
    <w:rsid w:val="10E70A61"/>
    <w:rsid w:val="11B5604C"/>
    <w:rsid w:val="120303CF"/>
    <w:rsid w:val="139040F6"/>
    <w:rsid w:val="13E24F90"/>
    <w:rsid w:val="143F7286"/>
    <w:rsid w:val="155B0E57"/>
    <w:rsid w:val="15C30E48"/>
    <w:rsid w:val="16302F6C"/>
    <w:rsid w:val="163D0467"/>
    <w:rsid w:val="19365E81"/>
    <w:rsid w:val="193810EA"/>
    <w:rsid w:val="194F5107"/>
    <w:rsid w:val="19B4308D"/>
    <w:rsid w:val="19CB0B83"/>
    <w:rsid w:val="19E65E70"/>
    <w:rsid w:val="1ADD0FB6"/>
    <w:rsid w:val="1AE8650F"/>
    <w:rsid w:val="1C575F09"/>
    <w:rsid w:val="1CD427EF"/>
    <w:rsid w:val="1E0B1AF9"/>
    <w:rsid w:val="1E722A27"/>
    <w:rsid w:val="20947775"/>
    <w:rsid w:val="20D64A1E"/>
    <w:rsid w:val="213B5F00"/>
    <w:rsid w:val="21A846F5"/>
    <w:rsid w:val="21D273E5"/>
    <w:rsid w:val="24450581"/>
    <w:rsid w:val="254D3E0E"/>
    <w:rsid w:val="27F97CB4"/>
    <w:rsid w:val="2A7F01A0"/>
    <w:rsid w:val="2AA65345"/>
    <w:rsid w:val="2AD13FE0"/>
    <w:rsid w:val="2BAF7421"/>
    <w:rsid w:val="2C675E30"/>
    <w:rsid w:val="2C895A8A"/>
    <w:rsid w:val="2D112D06"/>
    <w:rsid w:val="2D326A77"/>
    <w:rsid w:val="31800540"/>
    <w:rsid w:val="31927D00"/>
    <w:rsid w:val="319832D5"/>
    <w:rsid w:val="31B373E5"/>
    <w:rsid w:val="32EB51E3"/>
    <w:rsid w:val="33C304ED"/>
    <w:rsid w:val="33E829CE"/>
    <w:rsid w:val="34E97C37"/>
    <w:rsid w:val="34F414DD"/>
    <w:rsid w:val="35301D0A"/>
    <w:rsid w:val="361E6007"/>
    <w:rsid w:val="382F655C"/>
    <w:rsid w:val="38AF73EA"/>
    <w:rsid w:val="38E14048"/>
    <w:rsid w:val="39077435"/>
    <w:rsid w:val="3A44231A"/>
    <w:rsid w:val="3C4165AB"/>
    <w:rsid w:val="3E3A7756"/>
    <w:rsid w:val="3F3A328A"/>
    <w:rsid w:val="3FDF76A7"/>
    <w:rsid w:val="405A7C3B"/>
    <w:rsid w:val="406D5BC1"/>
    <w:rsid w:val="408814A0"/>
    <w:rsid w:val="40971A00"/>
    <w:rsid w:val="40B41A41"/>
    <w:rsid w:val="40CA7159"/>
    <w:rsid w:val="40DC68A2"/>
    <w:rsid w:val="418D5DEE"/>
    <w:rsid w:val="42B82B49"/>
    <w:rsid w:val="434A21E9"/>
    <w:rsid w:val="436F1530"/>
    <w:rsid w:val="4561682A"/>
    <w:rsid w:val="45E72A8B"/>
    <w:rsid w:val="46B71E44"/>
    <w:rsid w:val="47CD7D57"/>
    <w:rsid w:val="47F06B95"/>
    <w:rsid w:val="480908C5"/>
    <w:rsid w:val="48211BC6"/>
    <w:rsid w:val="4822419E"/>
    <w:rsid w:val="48831CF9"/>
    <w:rsid w:val="49D9233C"/>
    <w:rsid w:val="4C8A5D4C"/>
    <w:rsid w:val="4C9E7102"/>
    <w:rsid w:val="4CA06E6A"/>
    <w:rsid w:val="4CBE38BE"/>
    <w:rsid w:val="4EE82556"/>
    <w:rsid w:val="50B22E9A"/>
    <w:rsid w:val="51363DAD"/>
    <w:rsid w:val="51952DA1"/>
    <w:rsid w:val="51E90CD7"/>
    <w:rsid w:val="52295D9F"/>
    <w:rsid w:val="53812738"/>
    <w:rsid w:val="538F59F6"/>
    <w:rsid w:val="53D167AB"/>
    <w:rsid w:val="541370BB"/>
    <w:rsid w:val="571B7CCD"/>
    <w:rsid w:val="58087463"/>
    <w:rsid w:val="586A3A13"/>
    <w:rsid w:val="58FD39B6"/>
    <w:rsid w:val="59903D44"/>
    <w:rsid w:val="59973856"/>
    <w:rsid w:val="59CF6885"/>
    <w:rsid w:val="5A4B07FD"/>
    <w:rsid w:val="5A4C21A4"/>
    <w:rsid w:val="5AE0689A"/>
    <w:rsid w:val="5B562310"/>
    <w:rsid w:val="5B597CE2"/>
    <w:rsid w:val="5B9C5154"/>
    <w:rsid w:val="5BD8739D"/>
    <w:rsid w:val="5CD017B9"/>
    <w:rsid w:val="5CDC6150"/>
    <w:rsid w:val="5D083376"/>
    <w:rsid w:val="5D810AA5"/>
    <w:rsid w:val="5E380865"/>
    <w:rsid w:val="61392BBA"/>
    <w:rsid w:val="61AB7E9C"/>
    <w:rsid w:val="625E4E42"/>
    <w:rsid w:val="643D30F4"/>
    <w:rsid w:val="651E3EA0"/>
    <w:rsid w:val="68962B8B"/>
    <w:rsid w:val="69FD5093"/>
    <w:rsid w:val="6AB05F13"/>
    <w:rsid w:val="6C862D61"/>
    <w:rsid w:val="6C90660F"/>
    <w:rsid w:val="6F2C4252"/>
    <w:rsid w:val="6FBE7937"/>
    <w:rsid w:val="712B4B58"/>
    <w:rsid w:val="71DB20DB"/>
    <w:rsid w:val="72031631"/>
    <w:rsid w:val="73160F31"/>
    <w:rsid w:val="735866C5"/>
    <w:rsid w:val="73814DD9"/>
    <w:rsid w:val="747550C0"/>
    <w:rsid w:val="74D86DA5"/>
    <w:rsid w:val="74DC2E1E"/>
    <w:rsid w:val="781520BE"/>
    <w:rsid w:val="788A76B4"/>
    <w:rsid w:val="79042C9C"/>
    <w:rsid w:val="793675A6"/>
    <w:rsid w:val="7D4B7F6E"/>
    <w:rsid w:val="7E1A042F"/>
    <w:rsid w:val="7E350F85"/>
    <w:rsid w:val="7E3C03A5"/>
    <w:rsid w:val="7F2E23E3"/>
    <w:rsid w:val="7F595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20"/>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unhideWhenUsed/>
    <w:qFormat/>
    <w:uiPriority w:val="0"/>
    <w:pPr>
      <w:spacing w:before="120"/>
    </w:pPr>
    <w:rPr>
      <w:rFonts w:ascii="Arial" w:hAnsi="Arial" w:cs="Arial"/>
    </w:rPr>
  </w:style>
  <w:style w:type="paragraph" w:styleId="5">
    <w:name w:val="Body Text"/>
    <w:basedOn w:val="1"/>
    <w:unhideWhenUsed/>
    <w:qFormat/>
    <w:uiPriority w:val="99"/>
    <w:pPr>
      <w:spacing w:after="120"/>
    </w:pPr>
  </w:style>
  <w:style w:type="paragraph" w:styleId="6">
    <w:name w:val="Body Text Indent"/>
    <w:basedOn w:val="1"/>
    <w:next w:val="1"/>
    <w:qFormat/>
    <w:uiPriority w:val="0"/>
    <w:pPr>
      <w:spacing w:after="120"/>
      <w:ind w:left="420" w:leftChars="200"/>
    </w:pPr>
  </w:style>
  <w:style w:type="paragraph" w:styleId="7">
    <w:name w:val="Balloon Text"/>
    <w:basedOn w:val="1"/>
    <w:link w:val="16"/>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character" w:customStyle="1" w:styleId="16">
    <w:name w:val="批注框文本 Char"/>
    <w:basedOn w:val="13"/>
    <w:link w:val="7"/>
    <w:semiHidden/>
    <w:qFormat/>
    <w:uiPriority w:val="99"/>
    <w:rPr>
      <w:sz w:val="18"/>
      <w:szCs w:val="18"/>
    </w:rPr>
  </w:style>
  <w:style w:type="paragraph" w:styleId="17">
    <w:name w:val="List Paragraph"/>
    <w:basedOn w:val="1"/>
    <w:qFormat/>
    <w:uiPriority w:val="34"/>
    <w:pPr>
      <w:spacing w:line="360" w:lineRule="auto"/>
      <w:ind w:firstLine="420" w:firstLineChars="200"/>
      <w:jc w:val="left"/>
    </w:pPr>
    <w:rPr>
      <w:rFonts w:ascii="宋体" w:hAnsi="宋体" w:cs="Times New Roman"/>
      <w:sz w:val="24"/>
      <w:szCs w:val="24"/>
    </w:rPr>
  </w:style>
  <w:style w:type="paragraph" w:customStyle="1" w:styleId="18">
    <w:name w:val="p"/>
    <w:basedOn w:val="1"/>
    <w:qFormat/>
    <w:uiPriority w:val="0"/>
    <w:pPr>
      <w:widowControl/>
      <w:spacing w:line="525" w:lineRule="atLeast"/>
      <w:ind w:firstLine="375"/>
      <w:jc w:val="left"/>
    </w:pPr>
    <w:rPr>
      <w:kern w:val="0"/>
      <w:sz w:val="24"/>
    </w:rPr>
  </w:style>
  <w:style w:type="paragraph" w:customStyle="1" w:styleId="19">
    <w:name w:val="0"/>
    <w:basedOn w:val="1"/>
    <w:qFormat/>
    <w:uiPriority w:val="0"/>
    <w:pPr>
      <w:widowControl/>
    </w:pPr>
    <w:rPr>
      <w:rFonts w:eastAsia="Arial Unicode MS"/>
      <w:kern w:val="0"/>
      <w:szCs w:val="20"/>
    </w:rPr>
  </w:style>
  <w:style w:type="character" w:customStyle="1" w:styleId="20">
    <w:name w:val="标题 2 Char"/>
    <w:link w:val="3"/>
    <w:qFormat/>
    <w:uiPriority w:val="0"/>
    <w:rPr>
      <w:rFonts w:ascii="宋体" w:hAnsi="Arial"/>
      <w:b/>
      <w:kern w:val="0"/>
      <w:sz w:val="28"/>
      <w:szCs w:val="20"/>
    </w:rPr>
  </w:style>
  <w:style w:type="character" w:customStyle="1" w:styleId="21">
    <w:name w:val="font5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2598</Words>
  <Characters>2740</Characters>
  <Lines>35</Lines>
  <Paragraphs>9</Paragraphs>
  <TotalTime>0</TotalTime>
  <ScaleCrop>false</ScaleCrop>
  <LinksUpToDate>false</LinksUpToDate>
  <CharactersWithSpaces>2749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2021-08-20T09:01:00Z</dcterms:created>
  <dc:creator>Microsoft</dc:creator>
  <cp:lastModifiedBy>千念</cp:lastModifiedBy>
  <cp:lastPrinted>2025-06-20T06:31:00Z</cp:lastPrinted>
  <dcterms:modified xsi:type="dcterms:W3CDTF">2025-12-31T08:19:45Z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747B9AD8B724418D9406FD406C52F1AC_13</vt:lpwstr>
  </property>
  <property fmtid="{D5CDD505-2E9C-101B-9397-08002B2CF9AE}" pid="4" name="KSOTemplateDocerSaveRecord">
    <vt:lpwstr>eyJoZGlkIjoiYTFlODFmOGZlM2MwNTJmZTkyY2ZlZmM0Y2FiZDdjMDAiLCJ1c2VySWQiOiI0MjQ5NTk1MDYifQ==</vt:lpwstr>
  </property>
</Properties>
</file>