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8DF83">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王家山煤矿分公司DTL120/120/250</w:t>
      </w:r>
      <w:r>
        <w:rPr>
          <w:rFonts w:hint="eastAsia" w:ascii="宋体" w:hAnsi="宋体" w:eastAsia="宋体" w:cs="宋体"/>
          <w:b/>
          <w:color w:val="auto"/>
          <w:kern w:val="0"/>
          <w:sz w:val="28"/>
          <w:szCs w:val="28"/>
        </w:rPr>
        <w:t>带</w:t>
      </w:r>
      <w:r>
        <w:rPr>
          <w:rFonts w:hint="eastAsia" w:ascii="宋体" w:hAnsi="宋体" w:eastAsia="宋体" w:cs="宋体"/>
          <w:b/>
          <w:color w:val="auto"/>
          <w:kern w:val="0"/>
          <w:sz w:val="28"/>
          <w:szCs w:val="28"/>
          <w:lang w:val="en-US" w:eastAsia="zh-CN"/>
        </w:rPr>
        <w:t>式</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E4AB47">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矿用隔爆三相永磁直驱滚筒</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17ABDEDF">
      <w:pPr>
        <w:pStyle w:val="5"/>
        <w:rPr>
          <w:rFonts w:hint="eastAsia" w:ascii="宋体" w:hAnsi="宋体" w:eastAsia="宋体" w:cs="宋体"/>
          <w:sz w:val="18"/>
          <w:szCs w:val="18"/>
          <w:lang w:val="en-US" w:eastAsia="zh-CN"/>
        </w:rPr>
      </w:pPr>
      <w:r>
        <w:rPr>
          <w:rFonts w:hint="eastAsia" w:ascii="宋体" w:hAnsi="宋体" w:eastAsia="宋体" w:cs="宋体"/>
          <w:b/>
          <w:color w:val="auto"/>
          <w:sz w:val="24"/>
          <w:szCs w:val="24"/>
          <w:lang w:val="en-US" w:eastAsia="zh-CN"/>
        </w:rPr>
        <w:t>一、名称：</w:t>
      </w:r>
      <w:r>
        <w:rPr>
          <w:rFonts w:hint="eastAsia" w:ascii="宋体" w:hAnsi="宋体" w:eastAsia="宋体" w:cs="宋体"/>
          <w:color w:val="auto"/>
          <w:kern w:val="2"/>
          <w:sz w:val="24"/>
          <w:szCs w:val="24"/>
          <w:lang w:val="en-US" w:eastAsia="zh-CN" w:bidi="ar-SA"/>
        </w:rPr>
        <w:t>矿用隔爆型三相永磁直驱滚筒</w:t>
      </w:r>
    </w:p>
    <w:p w14:paraId="0BDC1655">
      <w:pPr>
        <w:pStyle w:val="5"/>
        <w:rPr>
          <w:rFonts w:hint="default" w:ascii="宋体" w:hAnsi="宋体" w:eastAsia="宋体" w:cs="宋体"/>
          <w:sz w:val="18"/>
          <w:szCs w:val="18"/>
          <w:lang w:val="en-US" w:eastAsia="zh-CN"/>
        </w:rPr>
      </w:pPr>
      <w:r>
        <w:rPr>
          <w:rFonts w:hint="eastAsia" w:ascii="宋体" w:hAnsi="宋体" w:eastAsia="宋体" w:cs="宋体"/>
          <w:b/>
          <w:color w:val="auto"/>
          <w:sz w:val="24"/>
          <w:szCs w:val="24"/>
          <w:lang w:val="en-US" w:eastAsia="zh-CN"/>
        </w:rPr>
        <w:t>二、型号</w:t>
      </w:r>
      <w:r>
        <w:rPr>
          <w:rFonts w:hint="eastAsia" w:ascii="宋体" w:hAnsi="宋体" w:eastAsia="宋体" w:cs="宋体"/>
          <w:sz w:val="18"/>
          <w:szCs w:val="18"/>
          <w:lang w:val="en-US" w:eastAsia="zh-CN"/>
        </w:rPr>
        <w:t>：</w:t>
      </w:r>
      <w:r>
        <w:rPr>
          <w:rFonts w:hint="eastAsia" w:ascii="宋体" w:hAnsi="宋体" w:eastAsia="宋体" w:cs="宋体"/>
          <w:color w:val="auto"/>
          <w:kern w:val="2"/>
          <w:sz w:val="24"/>
          <w:szCs w:val="24"/>
          <w:lang w:val="en-US" w:eastAsia="zh-CN" w:bidi="ar-SA"/>
        </w:rPr>
        <w:t>STYB250-5.0-1000×1200（1140/660）</w:t>
      </w:r>
    </w:p>
    <w:p w14:paraId="2A9A7D7A">
      <w:pPr>
        <w:pStyle w:val="5"/>
        <w:rPr>
          <w:rFonts w:hint="eastAsia" w:ascii="宋体" w:hAnsi="宋体" w:eastAsia="宋体" w:cs="宋体"/>
          <w:sz w:val="18"/>
          <w:szCs w:val="18"/>
          <w:lang w:val="en-US" w:eastAsia="zh-CN"/>
        </w:rPr>
      </w:pPr>
      <w:r>
        <w:rPr>
          <w:rFonts w:hint="eastAsia" w:ascii="宋体" w:hAnsi="宋体" w:eastAsia="宋体" w:cs="宋体"/>
          <w:b/>
          <w:color w:val="auto"/>
          <w:sz w:val="24"/>
          <w:szCs w:val="24"/>
          <w:lang w:val="en-US" w:eastAsia="zh-CN"/>
        </w:rPr>
        <w:t>三、数量：1</w:t>
      </w:r>
      <w:r>
        <w:rPr>
          <w:rFonts w:hint="eastAsia" w:ascii="宋体" w:hAnsi="宋体" w:eastAsia="宋体" w:cs="宋体"/>
          <w:color w:val="auto"/>
          <w:kern w:val="2"/>
          <w:sz w:val="24"/>
          <w:szCs w:val="24"/>
          <w:lang w:val="en-US" w:eastAsia="zh-CN" w:bidi="ar-SA"/>
        </w:rPr>
        <w:t>台</w:t>
      </w:r>
    </w:p>
    <w:p w14:paraId="475A0687">
      <w:pPr>
        <w:pStyle w:val="5"/>
        <w:rPr>
          <w:rFonts w:hint="default"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四、技术参数及要求</w:t>
      </w:r>
    </w:p>
    <w:p w14:paraId="7B3CCA05">
      <w:pPr>
        <w:pStyle w:val="4"/>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1.永磁电动滚筒主要性能参数</w:t>
      </w:r>
    </w:p>
    <w:p w14:paraId="22DDB1FD">
      <w:pPr>
        <w:keepNext w:val="0"/>
        <w:keepLines w:val="0"/>
        <w:pageBreakBefore w:val="0"/>
        <w:widowControl w:val="0"/>
        <w:kinsoku/>
        <w:wordWrap/>
        <w:overflowPunct/>
        <w:topLinePunct w:val="0"/>
        <w:autoSpaceDE/>
        <w:autoSpaceDN/>
        <w:bidi w:val="0"/>
        <w:adjustRightInd/>
        <w:snapToGrid/>
        <w:spacing w:line="360" w:lineRule="auto"/>
        <w:ind w:firstLine="420" w:firstLineChars="175"/>
        <w:textAlignment w:val="auto"/>
        <w:rPr>
          <w:rFonts w:ascii="宋体" w:hAnsi="宋体" w:eastAsia="宋体" w:cs="宋体"/>
          <w:color w:val="auto"/>
          <w:sz w:val="24"/>
          <w:szCs w:val="24"/>
        </w:rPr>
      </w:pPr>
      <w:r>
        <w:rPr>
          <w:rFonts w:hint="eastAsia" w:ascii="宋体" w:hAnsi="宋体" w:eastAsia="宋体" w:cs="宋体"/>
          <w:color w:val="auto"/>
          <w:sz w:val="24"/>
          <w:szCs w:val="24"/>
        </w:rPr>
        <w:t>（1）规格型号：STYB</w:t>
      </w:r>
      <w:r>
        <w:rPr>
          <w:rFonts w:hint="eastAsia" w:ascii="宋体" w:hAnsi="宋体" w:eastAsia="宋体" w:cs="宋体"/>
          <w:color w:val="auto"/>
          <w:sz w:val="24"/>
          <w:szCs w:val="24"/>
          <w:lang w:val="en-US" w:eastAsia="zh-CN"/>
        </w:rPr>
        <w:t>250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1000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1200</w:t>
      </w:r>
      <w:r>
        <w:rPr>
          <w:rFonts w:hint="eastAsia" w:ascii="宋体" w:hAnsi="宋体" w:eastAsia="宋体" w:cs="宋体"/>
          <w:color w:val="auto"/>
          <w:sz w:val="24"/>
          <w:szCs w:val="24"/>
        </w:rPr>
        <w:t>（1140/660）</w:t>
      </w:r>
    </w:p>
    <w:p w14:paraId="03472F8B">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（2）额定功率: </w:t>
      </w:r>
      <w:r>
        <w:rPr>
          <w:rFonts w:hint="eastAsia" w:ascii="宋体" w:hAnsi="宋体" w:eastAsia="宋体" w:cs="宋体"/>
          <w:color w:val="auto"/>
          <w:sz w:val="24"/>
          <w:szCs w:val="24"/>
          <w:lang w:val="en-US" w:eastAsia="zh-CN"/>
        </w:rPr>
        <w:t>250</w:t>
      </w:r>
      <w:r>
        <w:rPr>
          <w:rFonts w:hint="eastAsia" w:ascii="宋体" w:hAnsi="宋体" w:eastAsia="宋体" w:cs="宋体"/>
          <w:color w:val="auto"/>
          <w:sz w:val="24"/>
          <w:szCs w:val="24"/>
        </w:rPr>
        <w:t>KW</w:t>
      </w:r>
    </w:p>
    <w:p w14:paraId="6DC915E3">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（3）额定电压：1140/660V</w:t>
      </w:r>
    </w:p>
    <w:p w14:paraId="665ABEA0">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（4）额定转速：75r/min</w:t>
      </w:r>
    </w:p>
    <w:p w14:paraId="0E5890BF">
      <w:pPr>
        <w:spacing w:line="360" w:lineRule="auto"/>
        <w:ind w:firstLine="420" w:firstLineChars="175"/>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（5）带速范围：</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5.0</w:t>
      </w:r>
      <w:r>
        <w:rPr>
          <w:rFonts w:hint="eastAsia" w:ascii="宋体" w:hAnsi="宋体" w:eastAsia="宋体" w:cs="宋体"/>
          <w:color w:val="auto"/>
          <w:sz w:val="24"/>
          <w:szCs w:val="24"/>
        </w:rPr>
        <w:t>(m/s)</w:t>
      </w:r>
      <w:r>
        <w:rPr>
          <w:rFonts w:hint="eastAsia" w:ascii="宋体" w:hAnsi="宋体" w:eastAsia="宋体" w:cs="宋体"/>
          <w:color w:val="auto"/>
          <w:sz w:val="24"/>
          <w:szCs w:val="24"/>
          <w:lang w:val="en-US" w:eastAsia="zh-CN"/>
        </w:rPr>
        <w:t xml:space="preserve">   可调</w:t>
      </w:r>
    </w:p>
    <w:p w14:paraId="79B59C73">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（6）滚筒直径：φ</w:t>
      </w:r>
      <w:r>
        <w:rPr>
          <w:rFonts w:hint="eastAsia" w:ascii="宋体" w:hAnsi="宋体" w:eastAsia="宋体" w:cs="宋体"/>
          <w:color w:val="auto"/>
          <w:sz w:val="24"/>
          <w:szCs w:val="24"/>
          <w:lang w:val="en-US" w:eastAsia="zh-CN"/>
        </w:rPr>
        <w:t>1000</w:t>
      </w:r>
      <w:r>
        <w:rPr>
          <w:rFonts w:hint="eastAsia" w:ascii="宋体" w:hAnsi="宋体" w:eastAsia="宋体" w:cs="宋体"/>
          <w:color w:val="auto"/>
          <w:sz w:val="24"/>
          <w:szCs w:val="24"/>
        </w:rPr>
        <w:t>mm</w:t>
      </w:r>
    </w:p>
    <w:p w14:paraId="6F42E3C0">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（7）适用带宽：</w:t>
      </w:r>
      <w:r>
        <w:rPr>
          <w:rFonts w:hint="eastAsia" w:ascii="宋体" w:hAnsi="宋体" w:eastAsia="宋体" w:cs="宋体"/>
          <w:color w:val="auto"/>
          <w:sz w:val="24"/>
          <w:szCs w:val="24"/>
          <w:lang w:val="en-US" w:eastAsia="zh-CN"/>
        </w:rPr>
        <w:t>1200</w:t>
      </w:r>
      <w:r>
        <w:rPr>
          <w:rFonts w:hint="eastAsia" w:ascii="宋体" w:hAnsi="宋体" w:eastAsia="宋体" w:cs="宋体"/>
          <w:color w:val="auto"/>
          <w:sz w:val="24"/>
          <w:szCs w:val="24"/>
        </w:rPr>
        <w:t>mm</w:t>
      </w:r>
    </w:p>
    <w:p w14:paraId="170FEC5E">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（8）防护等级：IP55</w:t>
      </w:r>
    </w:p>
    <w:p w14:paraId="4AD218CE">
      <w:pPr>
        <w:spacing w:line="360" w:lineRule="auto"/>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（9）冷却方式：IC3W7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(水冷)</w:t>
      </w:r>
    </w:p>
    <w:p w14:paraId="21F9C9B0">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绝缘等级：H级</w:t>
      </w:r>
    </w:p>
    <w:p w14:paraId="1C99D4D1">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2.技术指标</w:t>
      </w:r>
    </w:p>
    <w:p w14:paraId="486E8ED1">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(1)永磁同步电动滚筒可在5Hz─额定频率的任意转速下长时间运行。</w:t>
      </w:r>
    </w:p>
    <w:p w14:paraId="297DC618">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(2)永磁滚筒在运行时，轴承应平稳轻快，无停滞现象，声音均匀和谐，不夹杂有害杂音。</w:t>
      </w:r>
    </w:p>
    <w:p w14:paraId="73F57E83">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(3)当三相电源平衡时，永磁滚筒三相空载电流的任何一相电流与三相平均值的偏差（绝对值）不得大于平均值的10%。绕组及引线应满足额定电流要求，同时满足绝缘等级H。</w:t>
      </w:r>
    </w:p>
    <w:p w14:paraId="17213735">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(4)永磁同步电动滚筒出厂前，测试绕组冷态直流电阻，绝缘电阻，交流耐压试验，空载运行试验，匝间绝缘试验、振动、噪声、滚筒外径圆跳动试验等，并出具出厂试验报告。</w:t>
      </w:r>
    </w:p>
    <w:p w14:paraId="465E9C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(5)出厂前包装严实，防止设备在运输、卸货、搬运、储存、安装和运行中损坏。</w:t>
      </w:r>
    </w:p>
    <w:p w14:paraId="06BB1874">
      <w:pPr>
        <w:pStyle w:val="17"/>
        <w:keepNext w:val="0"/>
        <w:keepLines w:val="0"/>
        <w:pageBreakBefore w:val="0"/>
        <w:widowControl w:val="0"/>
        <w:kinsoku/>
        <w:wordWrap/>
        <w:overflowPunct/>
        <w:topLinePunct w:val="0"/>
        <w:autoSpaceDE/>
        <w:autoSpaceDN/>
        <w:bidi w:val="0"/>
        <w:adjustRightInd/>
        <w:snapToGrid/>
        <w:ind w:firstLine="480"/>
        <w:textAlignment w:val="auto"/>
        <w:rPr>
          <w:rFonts w:eastAsia="宋体" w:cs="宋体"/>
          <w:color w:val="auto"/>
          <w:sz w:val="24"/>
          <w:szCs w:val="24"/>
        </w:rPr>
      </w:pPr>
      <w:r>
        <w:rPr>
          <w:rFonts w:hint="eastAsia" w:eastAsia="宋体" w:cs="宋体"/>
          <w:color w:val="auto"/>
          <w:sz w:val="24"/>
          <w:szCs w:val="24"/>
        </w:rPr>
        <w:t>(6）永磁同步电动滚筒转子耐受温度不低于180℃。在三相短路（永磁滚筒电流冲击最大）、退磁风险最大时，磁钢退磁每10年退磁率&lt;1%，而且抗退磁温度要远高于三相短路情况下退磁温度，使用寿命不低于20年。</w:t>
      </w:r>
    </w:p>
    <w:p w14:paraId="3897F9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(7)滚筒的筒体的包覆层采用</w:t>
      </w:r>
      <w:r>
        <w:rPr>
          <w:rFonts w:hint="eastAsia" w:ascii="宋体" w:hAnsi="宋体" w:eastAsia="宋体" w:cs="宋体"/>
          <w:color w:val="auto"/>
          <w:sz w:val="24"/>
          <w:szCs w:val="24"/>
          <w:lang w:eastAsia="zh-CN"/>
        </w:rPr>
        <w:t>陶瓷包胶</w:t>
      </w:r>
      <w:r>
        <w:rPr>
          <w:rFonts w:hint="eastAsia" w:ascii="宋体" w:hAnsi="宋体" w:eastAsia="宋体" w:cs="宋体"/>
          <w:color w:val="auto"/>
          <w:sz w:val="24"/>
          <w:szCs w:val="24"/>
        </w:rPr>
        <w:t>，其阻燃、抗静电性能符合MT962标准的要求，提供相应的矿用产品安全标志证书</w:t>
      </w:r>
      <w:r>
        <w:rPr>
          <w:rFonts w:hint="eastAsia" w:ascii="宋体" w:hAnsi="宋体" w:eastAsia="宋体" w:cs="宋体"/>
          <w:color w:val="auto"/>
          <w:sz w:val="24"/>
          <w:szCs w:val="24"/>
          <w:lang w:eastAsia="zh-CN"/>
        </w:rPr>
        <w:t>，陶瓷包胶质保</w:t>
      </w:r>
      <w:r>
        <w:rPr>
          <w:rFonts w:hint="eastAsia" w:ascii="宋体" w:hAnsi="宋体" w:eastAsia="宋体" w:cs="宋体"/>
          <w:color w:val="auto"/>
          <w:sz w:val="24"/>
          <w:szCs w:val="24"/>
          <w:lang w:val="en-US" w:eastAsia="zh-CN"/>
        </w:rPr>
        <w:t>5年。</w:t>
      </w:r>
      <w:bookmarkStart w:id="0" w:name="_GoBack"/>
      <w:bookmarkEnd w:id="0"/>
    </w:p>
    <w:p w14:paraId="0D4871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rPr>
        <w:t>(8)永磁电动滚筒前后轴承设计有专用注排油口，方便更换和补加润滑油脂，采用免维护设计。</w:t>
      </w:r>
    </w:p>
    <w:p w14:paraId="1398EDD5">
      <w:pPr>
        <w:pStyle w:val="17"/>
        <w:keepNext w:val="0"/>
        <w:keepLines w:val="0"/>
        <w:pageBreakBefore w:val="0"/>
        <w:widowControl w:val="0"/>
        <w:kinsoku/>
        <w:wordWrap/>
        <w:overflowPunct/>
        <w:topLinePunct w:val="0"/>
        <w:autoSpaceDE/>
        <w:autoSpaceDN/>
        <w:bidi w:val="0"/>
        <w:adjustRightInd/>
        <w:snapToGrid/>
        <w:ind w:firstLine="480"/>
        <w:textAlignment w:val="auto"/>
        <w:rPr>
          <w:rFonts w:eastAsia="宋体" w:cs="宋体"/>
          <w:color w:val="auto"/>
          <w:sz w:val="24"/>
          <w:szCs w:val="24"/>
        </w:rPr>
      </w:pPr>
      <w:r>
        <w:rPr>
          <w:rFonts w:hint="eastAsia" w:eastAsia="宋体" w:cs="宋体"/>
          <w:color w:val="auto"/>
          <w:sz w:val="24"/>
          <w:szCs w:val="24"/>
        </w:rPr>
        <w:t>（9）永磁电动滚筒定子预埋温度传感器测温PT100共2支，一用一备，实现对永磁电动滚筒的温度监测和保护,并进入集控系统予以监测。</w:t>
      </w:r>
    </w:p>
    <w:p w14:paraId="520EE0F3">
      <w:pPr>
        <w:pStyle w:val="17"/>
        <w:ind w:firstLine="480"/>
        <w:rPr>
          <w:rFonts w:eastAsia="宋体" w:cs="宋体"/>
          <w:color w:val="auto"/>
          <w:sz w:val="24"/>
          <w:szCs w:val="24"/>
        </w:rPr>
      </w:pPr>
      <w:r>
        <w:rPr>
          <w:rFonts w:hint="eastAsia" w:eastAsia="宋体" w:cs="宋体"/>
          <w:color w:val="auto"/>
          <w:sz w:val="24"/>
          <w:szCs w:val="24"/>
        </w:rPr>
        <w:t>（10）永磁滚筒前后轴承选用进口SKF轴承或FAG轴承。前后轴承均预埋温度传感器PT100，各2支，一用一备，可实时监测轴承温度，并可接入集控中心和变频器，以便实时监控。</w:t>
      </w:r>
    </w:p>
    <w:p w14:paraId="21C46187">
      <w:pPr>
        <w:pStyle w:val="17"/>
        <w:ind w:firstLine="480"/>
        <w:rPr>
          <w:rFonts w:eastAsia="宋体" w:cs="宋体"/>
          <w:color w:val="auto"/>
          <w:sz w:val="24"/>
          <w:szCs w:val="24"/>
        </w:rPr>
      </w:pPr>
      <w:r>
        <w:rPr>
          <w:rFonts w:hint="eastAsia" w:eastAsia="宋体" w:cs="宋体"/>
          <w:color w:val="auto"/>
          <w:sz w:val="24"/>
          <w:szCs w:val="24"/>
        </w:rPr>
        <w:t>（11）永磁电动滚筒具有恒转矩特性。起动转矩和过载转矩至少额定转矩的2倍。</w:t>
      </w:r>
    </w:p>
    <w:p w14:paraId="2880CB1A">
      <w:pPr>
        <w:pStyle w:val="17"/>
        <w:keepNext w:val="0"/>
        <w:keepLines w:val="0"/>
        <w:pageBreakBefore w:val="0"/>
        <w:kinsoku/>
        <w:wordWrap/>
        <w:overflowPunct/>
        <w:topLinePunct w:val="0"/>
        <w:autoSpaceDE/>
        <w:autoSpaceDN/>
        <w:bidi w:val="0"/>
        <w:adjustRightInd/>
        <w:snapToGrid/>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滚筒的筒体使用Q235材质，厚度不小于40mm，其包覆层材料应采用陶瓷阻燃材料，其阻燃、抗静电性能应符合MT962标准的要求，并应有有效的矿用产品安全标志证书；包胶要附带第三方检测的抗静电、阻燃报告（委托单位是</w:t>
      </w:r>
      <w:r>
        <w:rPr>
          <w:rFonts w:hint="eastAsia" w:eastAsia="宋体" w:cs="宋体"/>
          <w:color w:val="auto"/>
          <w:sz w:val="24"/>
          <w:szCs w:val="24"/>
          <w:lang w:val="en-US" w:eastAsia="zh-CN"/>
        </w:rPr>
        <w:t>王家山煤矿分公司</w:t>
      </w:r>
      <w:r>
        <w:rPr>
          <w:rFonts w:hint="eastAsia" w:ascii="宋体" w:hAnsi="宋体" w:eastAsia="宋体" w:cs="宋体"/>
          <w:color w:val="auto"/>
          <w:sz w:val="24"/>
          <w:szCs w:val="24"/>
          <w:lang w:val="en-US" w:eastAsia="zh-CN"/>
        </w:rPr>
        <w:t>）。</w:t>
      </w:r>
    </w:p>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五、售后服务和承诺</w:t>
      </w:r>
    </w:p>
    <w:p w14:paraId="7A46B16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煤安标志证书的资质文件；供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6EEB5DD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49D13C45">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3、供货方在接到需方技术服务申请后，于2小时内快速响应，并在24小时内安排人员达到现场解决问题，直至问题解决。</w:t>
      </w:r>
    </w:p>
    <w:p w14:paraId="2DF25CCB">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4A96484E">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066B0C6B">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18E799CA">
      <w:pPr>
        <w:pStyle w:val="19"/>
        <w:spacing w:line="400" w:lineRule="exact"/>
        <w:jc w:val="both"/>
        <w:rPr>
          <w:rFonts w:hint="eastAsia" w:ascii="宋体" w:hAnsi="宋体" w:eastAsia="宋体" w:cs="宋体"/>
          <w:color w:val="auto"/>
          <w:sz w:val="24"/>
          <w:szCs w:val="24"/>
          <w:lang w:val="en-US" w:eastAsia="zh-CN"/>
        </w:rPr>
      </w:pPr>
    </w:p>
    <w:p w14:paraId="46E852DD">
      <w:pPr>
        <w:pStyle w:val="19"/>
        <w:spacing w:line="400" w:lineRule="exact"/>
        <w:jc w:val="both"/>
        <w:rPr>
          <w:rFonts w:hint="eastAsia" w:ascii="仿宋_GB2312" w:hAnsi="仿宋_GB2312" w:eastAsia="仿宋_GB2312" w:cs="仿宋_GB2312"/>
          <w:color w:val="auto"/>
          <w:sz w:val="24"/>
          <w:szCs w:val="24"/>
        </w:rPr>
      </w:pPr>
      <w:r>
        <w:rPr>
          <w:rFonts w:hint="eastAsia" w:ascii="宋体" w:hAnsi="宋体" w:eastAsia="宋体" w:cs="宋体"/>
          <w:color w:val="auto"/>
          <w:sz w:val="24"/>
          <w:szCs w:val="24"/>
          <w:lang w:val="en-US" w:eastAsia="zh-CN"/>
        </w:rPr>
        <w:t xml:space="preserve">                               </w:t>
      </w:r>
    </w:p>
    <w:sectPr>
      <w:footerReference r:id="rId3" w:type="default"/>
      <w:pgSz w:w="11906" w:h="16838"/>
      <w:pgMar w:top="1440" w:right="1633" w:bottom="1440"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41A162E"/>
    <w:rsid w:val="04CC2CD9"/>
    <w:rsid w:val="05257DE5"/>
    <w:rsid w:val="056E23A3"/>
    <w:rsid w:val="05AD5788"/>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1B5604C"/>
    <w:rsid w:val="120303CF"/>
    <w:rsid w:val="139040F6"/>
    <w:rsid w:val="143F7286"/>
    <w:rsid w:val="155B0E57"/>
    <w:rsid w:val="15C30E48"/>
    <w:rsid w:val="16302F6C"/>
    <w:rsid w:val="163D0467"/>
    <w:rsid w:val="189B0A9C"/>
    <w:rsid w:val="19365E81"/>
    <w:rsid w:val="193810EA"/>
    <w:rsid w:val="194F5107"/>
    <w:rsid w:val="19B4308D"/>
    <w:rsid w:val="19E65E70"/>
    <w:rsid w:val="1ADD0FB6"/>
    <w:rsid w:val="1AE8650F"/>
    <w:rsid w:val="1C575F09"/>
    <w:rsid w:val="1CD427EF"/>
    <w:rsid w:val="1E0B1AF9"/>
    <w:rsid w:val="1E722A27"/>
    <w:rsid w:val="1FC01F3C"/>
    <w:rsid w:val="20947775"/>
    <w:rsid w:val="20D64A1E"/>
    <w:rsid w:val="213B5F00"/>
    <w:rsid w:val="21A846F5"/>
    <w:rsid w:val="21D273E5"/>
    <w:rsid w:val="24450581"/>
    <w:rsid w:val="2A7F01A0"/>
    <w:rsid w:val="2AA65345"/>
    <w:rsid w:val="2AD13FE0"/>
    <w:rsid w:val="2BAF7421"/>
    <w:rsid w:val="2C675E30"/>
    <w:rsid w:val="2D112D06"/>
    <w:rsid w:val="2D326A77"/>
    <w:rsid w:val="31800540"/>
    <w:rsid w:val="319832D5"/>
    <w:rsid w:val="32EB51E3"/>
    <w:rsid w:val="33C304ED"/>
    <w:rsid w:val="33E829CE"/>
    <w:rsid w:val="34E97C37"/>
    <w:rsid w:val="34F414DD"/>
    <w:rsid w:val="35301D0A"/>
    <w:rsid w:val="361E6007"/>
    <w:rsid w:val="382F655C"/>
    <w:rsid w:val="38AF73EA"/>
    <w:rsid w:val="38E14048"/>
    <w:rsid w:val="39077435"/>
    <w:rsid w:val="3A44231A"/>
    <w:rsid w:val="3C4165AB"/>
    <w:rsid w:val="3E3A7756"/>
    <w:rsid w:val="3EBB3F2B"/>
    <w:rsid w:val="3ECD2378"/>
    <w:rsid w:val="3F3A328A"/>
    <w:rsid w:val="3FDF76A7"/>
    <w:rsid w:val="405A7C3B"/>
    <w:rsid w:val="406D5BC1"/>
    <w:rsid w:val="408814A0"/>
    <w:rsid w:val="40971A00"/>
    <w:rsid w:val="40B41A41"/>
    <w:rsid w:val="40CA7159"/>
    <w:rsid w:val="40DC68A2"/>
    <w:rsid w:val="418D5DEE"/>
    <w:rsid w:val="42B82B49"/>
    <w:rsid w:val="434A21E9"/>
    <w:rsid w:val="436F1530"/>
    <w:rsid w:val="45E72A8B"/>
    <w:rsid w:val="46B71E44"/>
    <w:rsid w:val="47F06B95"/>
    <w:rsid w:val="480908C5"/>
    <w:rsid w:val="48211BC6"/>
    <w:rsid w:val="4822419E"/>
    <w:rsid w:val="48831CF9"/>
    <w:rsid w:val="493633EB"/>
    <w:rsid w:val="49D9233C"/>
    <w:rsid w:val="4C8A5D4C"/>
    <w:rsid w:val="4C9E7102"/>
    <w:rsid w:val="4CA06E6A"/>
    <w:rsid w:val="4CBE38BE"/>
    <w:rsid w:val="4EE82556"/>
    <w:rsid w:val="50B22E9A"/>
    <w:rsid w:val="50DA08D0"/>
    <w:rsid w:val="51363DAD"/>
    <w:rsid w:val="51952DA1"/>
    <w:rsid w:val="51E90CD7"/>
    <w:rsid w:val="52295D9F"/>
    <w:rsid w:val="53692E2D"/>
    <w:rsid w:val="538F59F6"/>
    <w:rsid w:val="53D167AB"/>
    <w:rsid w:val="541370BB"/>
    <w:rsid w:val="571B7CCD"/>
    <w:rsid w:val="58087463"/>
    <w:rsid w:val="586A3A13"/>
    <w:rsid w:val="59903D44"/>
    <w:rsid w:val="59973856"/>
    <w:rsid w:val="59CF6885"/>
    <w:rsid w:val="5A340B64"/>
    <w:rsid w:val="5A4B07FD"/>
    <w:rsid w:val="5A4C21A4"/>
    <w:rsid w:val="5AE0689A"/>
    <w:rsid w:val="5B562310"/>
    <w:rsid w:val="5B597CE2"/>
    <w:rsid w:val="5B9C5154"/>
    <w:rsid w:val="5BD8739D"/>
    <w:rsid w:val="5CD017B9"/>
    <w:rsid w:val="5CDC6150"/>
    <w:rsid w:val="5D083376"/>
    <w:rsid w:val="5D810AA5"/>
    <w:rsid w:val="5E380865"/>
    <w:rsid w:val="61392BBA"/>
    <w:rsid w:val="61AB7E9C"/>
    <w:rsid w:val="625E4E42"/>
    <w:rsid w:val="642F0F87"/>
    <w:rsid w:val="643D30F4"/>
    <w:rsid w:val="651E3EA0"/>
    <w:rsid w:val="66D815A6"/>
    <w:rsid w:val="68962B8B"/>
    <w:rsid w:val="69FD5093"/>
    <w:rsid w:val="6AB05F13"/>
    <w:rsid w:val="6C862D61"/>
    <w:rsid w:val="6C90660F"/>
    <w:rsid w:val="6F2C4252"/>
    <w:rsid w:val="6FBE7937"/>
    <w:rsid w:val="70AA4D13"/>
    <w:rsid w:val="712B4B58"/>
    <w:rsid w:val="71DB20DB"/>
    <w:rsid w:val="72031631"/>
    <w:rsid w:val="73160F31"/>
    <w:rsid w:val="735866C5"/>
    <w:rsid w:val="747550C0"/>
    <w:rsid w:val="74D86DA5"/>
    <w:rsid w:val="74DC2E1E"/>
    <w:rsid w:val="781520BE"/>
    <w:rsid w:val="788A76B4"/>
    <w:rsid w:val="79042C9C"/>
    <w:rsid w:val="793675A6"/>
    <w:rsid w:val="7D4B7F6E"/>
    <w:rsid w:val="7D727F89"/>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1421</Words>
  <Characters>1564</Characters>
  <Lines>35</Lines>
  <Paragraphs>9</Paragraphs>
  <TotalTime>0</TotalTime>
  <ScaleCrop>false</ScaleCrop>
  <LinksUpToDate>false</LinksUpToDate>
  <CharactersWithSpaces>1596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2025-12-31T08:26:58Z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