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before="157" w:beforeLines="50" w:after="157" w:afterLines="50" w:line="700" w:lineRule="exact"/>
        <w:jc w:val="center"/>
        <w:textAlignment w:val="auto"/>
        <w:rPr>
          <w:rFonts w:hint="eastAsia" w:ascii="黑体" w:hAnsi="华文中宋" w:eastAsia="黑体"/>
          <w:b/>
          <w:color w:val="auto"/>
          <w:sz w:val="52"/>
          <w:szCs w:val="52"/>
          <w:lang w:val="en-US" w:eastAsia="zh-CN"/>
        </w:rPr>
      </w:pPr>
      <w:bookmarkStart w:id="0" w:name="_Toc25290"/>
      <w:bookmarkStart w:id="1" w:name="_Toc23382"/>
      <w:bookmarkStart w:id="2" w:name="_Toc5792"/>
      <w:bookmarkStart w:id="3" w:name="_Toc26627"/>
    </w:p>
    <w:p>
      <w:pPr>
        <w:keepNext w:val="0"/>
        <w:keepLines w:val="0"/>
        <w:pageBreakBefore w:val="0"/>
        <w:widowControl w:val="0"/>
        <w:kinsoku/>
        <w:wordWrap/>
        <w:overflowPunct/>
        <w:topLinePunct w:val="0"/>
        <w:autoSpaceDE/>
        <w:autoSpaceDN/>
        <w:bidi w:val="0"/>
        <w:adjustRightInd/>
        <w:snapToGrid/>
        <w:spacing w:before="157" w:beforeLines="50" w:after="157" w:afterLines="50" w:line="700" w:lineRule="exact"/>
        <w:jc w:val="center"/>
        <w:textAlignment w:val="auto"/>
        <w:rPr>
          <w:rFonts w:hint="eastAsia" w:ascii="黑体" w:hAnsi="华文中宋" w:eastAsia="黑体"/>
          <w:b/>
          <w:color w:val="auto"/>
          <w:sz w:val="52"/>
          <w:szCs w:val="52"/>
          <w:lang w:val="en-US" w:eastAsia="zh-CN"/>
        </w:rPr>
      </w:pPr>
      <w:r>
        <w:rPr>
          <w:rFonts w:hint="eastAsia" w:ascii="黑体" w:hAnsi="华文中宋" w:eastAsia="黑体"/>
          <w:b/>
          <w:color w:val="auto"/>
          <w:sz w:val="52"/>
          <w:szCs w:val="52"/>
          <w:lang w:val="en-US" w:eastAsia="zh-CN"/>
        </w:rPr>
        <w:t>甘肃靖煤能源有限公司</w:t>
      </w:r>
    </w:p>
    <w:p>
      <w:pPr>
        <w:keepNext w:val="0"/>
        <w:keepLines w:val="0"/>
        <w:pageBreakBefore w:val="0"/>
        <w:widowControl w:val="0"/>
        <w:kinsoku/>
        <w:wordWrap/>
        <w:overflowPunct/>
        <w:topLinePunct w:val="0"/>
        <w:autoSpaceDE/>
        <w:autoSpaceDN/>
        <w:bidi w:val="0"/>
        <w:adjustRightInd/>
        <w:snapToGrid/>
        <w:spacing w:before="157" w:beforeLines="50" w:after="157" w:afterLines="50" w:line="700" w:lineRule="exact"/>
        <w:jc w:val="center"/>
        <w:textAlignment w:val="auto"/>
        <w:rPr>
          <w:rFonts w:hint="default" w:ascii="黑体" w:hAnsi="华文中宋" w:eastAsia="黑体"/>
          <w:b/>
          <w:color w:val="auto"/>
          <w:sz w:val="48"/>
          <w:szCs w:val="48"/>
          <w:lang w:val="en-US" w:eastAsia="zh-CN"/>
        </w:rPr>
      </w:pPr>
      <w:r>
        <w:rPr>
          <w:rFonts w:hint="eastAsia" w:ascii="黑体" w:hAnsi="华文中宋" w:eastAsia="黑体"/>
          <w:b/>
          <w:color w:val="auto"/>
          <w:sz w:val="48"/>
          <w:szCs w:val="48"/>
          <w:lang w:val="en-US" w:eastAsia="zh-CN"/>
        </w:rPr>
        <w:t>红会第一煤矿分公司地面压裂井设计</w:t>
      </w:r>
    </w:p>
    <w:p>
      <w:pPr>
        <w:keepNext w:val="0"/>
        <w:keepLines w:val="0"/>
        <w:pageBreakBefore w:val="0"/>
        <w:widowControl w:val="0"/>
        <w:kinsoku/>
        <w:wordWrap/>
        <w:overflowPunct/>
        <w:topLinePunct w:val="0"/>
        <w:autoSpaceDE/>
        <w:autoSpaceDN/>
        <w:bidi w:val="0"/>
        <w:adjustRightInd/>
        <w:snapToGrid/>
        <w:spacing w:before="313" w:beforeLines="100" w:line="900" w:lineRule="exact"/>
        <w:jc w:val="center"/>
        <w:textAlignment w:val="auto"/>
        <w:outlineLvl w:val="9"/>
        <w:rPr>
          <w:rFonts w:hint="eastAsia" w:ascii="黑体" w:hAnsi="宋体" w:eastAsia="黑体" w:cs="Times New Roman"/>
          <w:b/>
          <w:color w:val="auto"/>
          <w:sz w:val="72"/>
          <w:szCs w:val="72"/>
          <w:lang w:eastAsia="zh-CN"/>
        </w:rPr>
      </w:pPr>
      <w:r>
        <w:rPr>
          <w:rFonts w:hint="eastAsia" w:ascii="黑体" w:hAnsi="宋体" w:eastAsia="黑体" w:cs="Times New Roman"/>
          <w:b/>
          <w:color w:val="auto"/>
          <w:sz w:val="72"/>
          <w:szCs w:val="72"/>
        </w:rPr>
        <w:t>说</w:t>
      </w:r>
      <w:r>
        <w:rPr>
          <w:rFonts w:hint="eastAsia" w:ascii="黑体" w:hAnsi="宋体" w:eastAsia="黑体" w:cs="Times New Roman"/>
          <w:b/>
          <w:color w:val="auto"/>
          <w:sz w:val="72"/>
          <w:szCs w:val="72"/>
          <w:lang w:val="en-US" w:eastAsia="zh-CN"/>
        </w:rPr>
        <w:t xml:space="preserve"> </w:t>
      </w:r>
      <w:r>
        <w:rPr>
          <w:rFonts w:hint="eastAsia" w:ascii="黑体" w:hAnsi="宋体" w:eastAsia="黑体" w:cs="Times New Roman"/>
          <w:b/>
          <w:color w:val="auto"/>
          <w:sz w:val="72"/>
          <w:szCs w:val="72"/>
        </w:rPr>
        <w:t>明</w:t>
      </w:r>
      <w:r>
        <w:rPr>
          <w:rFonts w:hint="eastAsia" w:ascii="黑体" w:hAnsi="宋体" w:eastAsia="黑体" w:cs="Times New Roman"/>
          <w:b/>
          <w:color w:val="auto"/>
          <w:sz w:val="72"/>
          <w:szCs w:val="72"/>
          <w:lang w:val="en-US" w:eastAsia="zh-CN"/>
        </w:rPr>
        <w:t xml:space="preserve"> </w:t>
      </w:r>
      <w:r>
        <w:rPr>
          <w:rFonts w:hint="eastAsia" w:ascii="黑体" w:hAnsi="宋体" w:eastAsia="黑体" w:cs="Times New Roman"/>
          <w:b/>
          <w:color w:val="auto"/>
          <w:sz w:val="72"/>
          <w:szCs w:val="72"/>
        </w:rPr>
        <w:t>书</w:t>
      </w:r>
    </w:p>
    <w:p>
      <w:pPr>
        <w:spacing w:line="700" w:lineRule="exact"/>
        <w:jc w:val="center"/>
        <w:rPr>
          <w:rFonts w:hint="eastAsia" w:ascii="黑体" w:eastAsia="黑体"/>
          <w:b/>
          <w:color w:val="auto"/>
          <w:sz w:val="32"/>
        </w:rPr>
      </w:pPr>
    </w:p>
    <w:p>
      <w:pPr>
        <w:spacing w:line="700" w:lineRule="exact"/>
        <w:jc w:val="center"/>
        <w:rPr>
          <w:rFonts w:hint="eastAsia" w:ascii="黑体" w:eastAsia="黑体"/>
          <w:b/>
          <w:color w:val="auto"/>
          <w:sz w:val="32"/>
        </w:rPr>
      </w:pPr>
    </w:p>
    <w:p>
      <w:pPr>
        <w:spacing w:line="700" w:lineRule="exact"/>
        <w:jc w:val="center"/>
        <w:rPr>
          <w:rFonts w:hint="eastAsia" w:ascii="黑体" w:eastAsia="黑体"/>
          <w:b/>
          <w:color w:val="auto"/>
          <w:sz w:val="32"/>
        </w:rPr>
      </w:pPr>
    </w:p>
    <w:p>
      <w:pPr>
        <w:pStyle w:val="34"/>
        <w:rPr>
          <w:rFonts w:hint="eastAsia"/>
          <w:color w:val="auto"/>
        </w:rPr>
      </w:pPr>
    </w:p>
    <w:p>
      <w:pPr>
        <w:pStyle w:val="17"/>
        <w:rPr>
          <w:rFonts w:hint="eastAsia"/>
          <w:color w:val="auto"/>
        </w:rPr>
      </w:pPr>
    </w:p>
    <w:p>
      <w:pPr>
        <w:pStyle w:val="12"/>
        <w:rPr>
          <w:rFonts w:hint="eastAsia"/>
          <w:color w:val="auto"/>
        </w:rPr>
      </w:pPr>
    </w:p>
    <w:p>
      <w:pPr>
        <w:rPr>
          <w:rFonts w:hint="eastAsia"/>
          <w:color w:val="auto"/>
        </w:rPr>
      </w:pPr>
    </w:p>
    <w:p>
      <w:pPr>
        <w:spacing w:line="700" w:lineRule="exact"/>
        <w:jc w:val="both"/>
        <w:rPr>
          <w:rFonts w:hint="eastAsia" w:ascii="黑体" w:eastAsia="黑体"/>
          <w:b/>
          <w:color w:val="auto"/>
          <w:sz w:val="32"/>
        </w:rPr>
      </w:pPr>
    </w:p>
    <w:p>
      <w:pPr>
        <w:pStyle w:val="34"/>
        <w:ind w:left="0" w:leftChars="0" w:firstLine="0" w:firstLineChars="0"/>
        <w:rPr>
          <w:rFonts w:hint="eastAsia" w:ascii="黑体" w:eastAsia="黑体"/>
          <w:b/>
          <w:color w:val="auto"/>
          <w:sz w:val="32"/>
        </w:rPr>
      </w:pPr>
    </w:p>
    <w:p>
      <w:pPr>
        <w:pStyle w:val="34"/>
        <w:rPr>
          <w:rFonts w:hint="eastAsia" w:ascii="黑体" w:eastAsia="黑体"/>
          <w:b/>
          <w:color w:val="auto"/>
          <w:sz w:val="32"/>
        </w:rPr>
      </w:pPr>
    </w:p>
    <w:p>
      <w:pPr>
        <w:spacing w:line="700" w:lineRule="exact"/>
        <w:jc w:val="center"/>
        <w:rPr>
          <w:rFonts w:hint="eastAsia" w:ascii="黑体" w:eastAsia="黑体"/>
          <w:b/>
          <w:color w:val="auto"/>
          <w:sz w:val="32"/>
        </w:rPr>
      </w:pPr>
    </w:p>
    <w:p>
      <w:pPr>
        <w:pStyle w:val="2"/>
        <w:rPr>
          <w:rFonts w:hint="eastAsia" w:ascii="黑体" w:eastAsia="黑体"/>
          <w:b/>
          <w:color w:val="auto"/>
          <w:sz w:val="32"/>
        </w:rPr>
      </w:pPr>
    </w:p>
    <w:p>
      <w:pPr>
        <w:pStyle w:val="2"/>
        <w:rPr>
          <w:rFonts w:hint="eastAsia" w:ascii="黑体" w:eastAsia="黑体"/>
          <w:b/>
          <w:color w:val="auto"/>
          <w:sz w:val="32"/>
        </w:rPr>
      </w:pPr>
    </w:p>
    <w:p>
      <w:pPr>
        <w:spacing w:line="700" w:lineRule="exact"/>
        <w:jc w:val="center"/>
        <w:rPr>
          <w:rFonts w:hint="eastAsia" w:ascii="黑体" w:eastAsia="黑体"/>
          <w:b/>
          <w:color w:val="auto"/>
          <w:sz w:val="32"/>
        </w:rPr>
      </w:pPr>
    </w:p>
    <w:p>
      <w:pPr>
        <w:tabs>
          <w:tab w:val="left" w:pos="3480"/>
        </w:tabs>
        <w:spacing w:line="600" w:lineRule="exact"/>
        <w:jc w:val="center"/>
        <w:rPr>
          <w:rFonts w:hint="eastAsia" w:ascii="黑体" w:hAnsi="宋体" w:eastAsia="黑体"/>
          <w:b/>
          <w:color w:val="auto"/>
          <w:sz w:val="36"/>
          <w:szCs w:val="36"/>
        </w:rPr>
      </w:pPr>
      <w:r>
        <w:rPr>
          <w:rFonts w:hint="eastAsia" w:ascii="黑体" w:hAnsi="宋体" w:eastAsia="黑体"/>
          <w:b/>
          <w:color w:val="auto"/>
          <w:sz w:val="36"/>
          <w:szCs w:val="36"/>
        </w:rPr>
        <w:t>靖远煤业工程勘察设计有限公司</w:t>
      </w:r>
    </w:p>
    <w:p>
      <w:pPr>
        <w:spacing w:line="600" w:lineRule="exact"/>
        <w:jc w:val="center"/>
        <w:rPr>
          <w:rFonts w:hint="eastAsia" w:ascii="黑体" w:hAnsi="宋体" w:eastAsia="黑体"/>
          <w:b/>
          <w:color w:val="auto"/>
          <w:sz w:val="36"/>
          <w:szCs w:val="36"/>
        </w:rPr>
      </w:pPr>
      <w:r>
        <w:rPr>
          <w:rFonts w:hint="eastAsia" w:ascii="黑体" w:hAnsi="宋体" w:eastAsia="黑体"/>
          <w:b/>
          <w:color w:val="auto"/>
          <w:sz w:val="36"/>
          <w:szCs w:val="36"/>
        </w:rPr>
        <w:t>二○</w:t>
      </w:r>
      <w:r>
        <w:rPr>
          <w:rFonts w:hint="eastAsia" w:ascii="黑体" w:hAnsi="宋体" w:eastAsia="黑体"/>
          <w:b/>
          <w:color w:val="auto"/>
          <w:sz w:val="36"/>
          <w:szCs w:val="36"/>
          <w:lang w:val="en-US" w:eastAsia="zh-CN"/>
        </w:rPr>
        <w:t>二六</w:t>
      </w:r>
      <w:r>
        <w:rPr>
          <w:rFonts w:hint="eastAsia" w:ascii="黑体" w:hAnsi="宋体" w:eastAsia="黑体"/>
          <w:b/>
          <w:color w:val="auto"/>
          <w:sz w:val="36"/>
          <w:szCs w:val="36"/>
        </w:rPr>
        <w:t>年</w:t>
      </w:r>
      <w:r>
        <w:rPr>
          <w:rFonts w:hint="eastAsia" w:ascii="黑体" w:hAnsi="宋体" w:eastAsia="黑体"/>
          <w:b/>
          <w:color w:val="auto"/>
          <w:sz w:val="36"/>
          <w:szCs w:val="36"/>
          <w:lang w:val="en-US" w:eastAsia="zh-CN"/>
        </w:rPr>
        <w:t>三</w:t>
      </w:r>
      <w:r>
        <w:rPr>
          <w:rFonts w:hint="eastAsia" w:ascii="黑体" w:hAnsi="宋体" w:eastAsia="黑体"/>
          <w:b/>
          <w:color w:val="auto"/>
          <w:sz w:val="36"/>
          <w:szCs w:val="36"/>
        </w:rPr>
        <w:t>月</w:t>
      </w:r>
    </w:p>
    <w:p>
      <w:pPr>
        <w:pStyle w:val="34"/>
        <w:rPr>
          <w:color w:val="auto"/>
        </w:rPr>
        <w:sectPr>
          <w:pgSz w:w="11906" w:h="16838"/>
          <w:pgMar w:top="1417" w:right="1417" w:bottom="1417" w:left="141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700" w:lineRule="exact"/>
        <w:jc w:val="both"/>
        <w:textAlignment w:val="auto"/>
        <w:rPr>
          <w:rFonts w:hint="eastAsia" w:ascii="黑体" w:hAnsi="华文中宋" w:eastAsia="黑体"/>
          <w:b/>
          <w:color w:val="auto"/>
          <w:sz w:val="52"/>
          <w:szCs w:val="52"/>
          <w:lang w:val="en-US" w:eastAsia="zh-CN"/>
        </w:rPr>
        <w:sectPr>
          <w:pgSz w:w="11906" w:h="16838"/>
          <w:pgMar w:top="1417" w:right="1417" w:bottom="1417" w:left="141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before="157" w:beforeLines="50" w:after="157" w:afterLines="50" w:line="700" w:lineRule="exact"/>
        <w:jc w:val="center"/>
        <w:textAlignment w:val="auto"/>
        <w:rPr>
          <w:rFonts w:hint="eastAsia" w:ascii="黑体" w:hAnsi="华文中宋" w:eastAsia="黑体"/>
          <w:b/>
          <w:bCs w:val="0"/>
          <w:color w:val="auto"/>
          <w:sz w:val="52"/>
          <w:szCs w:val="52"/>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700" w:lineRule="exact"/>
        <w:jc w:val="center"/>
        <w:textAlignment w:val="auto"/>
        <w:rPr>
          <w:rFonts w:hint="eastAsia" w:ascii="黑体" w:hAnsi="华文中宋" w:eastAsia="黑体"/>
          <w:b/>
          <w:bCs w:val="0"/>
          <w:color w:val="auto"/>
          <w:sz w:val="52"/>
          <w:szCs w:val="52"/>
          <w:lang w:val="en-US" w:eastAsia="zh-CN"/>
        </w:rPr>
      </w:pPr>
      <w:r>
        <w:rPr>
          <w:rFonts w:hint="eastAsia" w:ascii="黑体" w:hAnsi="华文中宋" w:eastAsia="黑体"/>
          <w:b/>
          <w:bCs w:val="0"/>
          <w:color w:val="auto"/>
          <w:sz w:val="52"/>
          <w:szCs w:val="52"/>
          <w:lang w:val="en-US" w:eastAsia="zh-CN"/>
        </w:rPr>
        <w:t>甘肃靖煤能源有限公司</w:t>
      </w:r>
    </w:p>
    <w:p>
      <w:pPr>
        <w:keepNext w:val="0"/>
        <w:keepLines w:val="0"/>
        <w:pageBreakBefore w:val="0"/>
        <w:widowControl w:val="0"/>
        <w:kinsoku/>
        <w:wordWrap/>
        <w:overflowPunct/>
        <w:topLinePunct w:val="0"/>
        <w:autoSpaceDE/>
        <w:autoSpaceDN/>
        <w:bidi w:val="0"/>
        <w:adjustRightInd/>
        <w:snapToGrid/>
        <w:spacing w:before="157" w:beforeLines="50" w:after="157" w:afterLines="50" w:line="700" w:lineRule="exact"/>
        <w:jc w:val="center"/>
        <w:textAlignment w:val="auto"/>
        <w:rPr>
          <w:rFonts w:hint="default" w:ascii="黑体" w:hAnsi="华文中宋" w:eastAsia="黑体"/>
          <w:b/>
          <w:bCs w:val="0"/>
          <w:color w:val="auto"/>
          <w:sz w:val="48"/>
          <w:szCs w:val="48"/>
          <w:lang w:val="en-US" w:eastAsia="zh-CN"/>
        </w:rPr>
      </w:pPr>
      <w:r>
        <w:rPr>
          <w:rFonts w:hint="eastAsia" w:ascii="黑体" w:hAnsi="华文中宋" w:eastAsia="黑体"/>
          <w:b/>
          <w:bCs w:val="0"/>
          <w:color w:val="auto"/>
          <w:sz w:val="48"/>
          <w:szCs w:val="48"/>
          <w:lang w:val="en-US" w:eastAsia="zh-CN"/>
        </w:rPr>
        <w:t>红会第一煤矿分公司地面压裂井设计</w:t>
      </w:r>
    </w:p>
    <w:p>
      <w:pPr>
        <w:keepNext w:val="0"/>
        <w:keepLines w:val="0"/>
        <w:pageBreakBefore w:val="0"/>
        <w:widowControl w:val="0"/>
        <w:kinsoku/>
        <w:wordWrap/>
        <w:overflowPunct/>
        <w:topLinePunct w:val="0"/>
        <w:autoSpaceDE/>
        <w:autoSpaceDN/>
        <w:bidi w:val="0"/>
        <w:adjustRightInd/>
        <w:snapToGrid/>
        <w:spacing w:before="313" w:beforeLines="100" w:line="900" w:lineRule="exact"/>
        <w:jc w:val="center"/>
        <w:textAlignment w:val="auto"/>
        <w:outlineLvl w:val="9"/>
        <w:rPr>
          <w:rFonts w:hint="eastAsia" w:ascii="黑体" w:hAnsi="宋体" w:eastAsia="黑体" w:cs="Times New Roman"/>
          <w:b/>
          <w:bCs w:val="0"/>
          <w:color w:val="auto"/>
          <w:sz w:val="72"/>
          <w:szCs w:val="72"/>
          <w:lang w:eastAsia="zh-CN"/>
        </w:rPr>
      </w:pPr>
      <w:r>
        <w:rPr>
          <w:rFonts w:hint="eastAsia" w:ascii="黑体" w:hAnsi="宋体" w:eastAsia="黑体" w:cs="Times New Roman"/>
          <w:b/>
          <w:bCs w:val="0"/>
          <w:color w:val="auto"/>
          <w:sz w:val="72"/>
          <w:szCs w:val="72"/>
        </w:rPr>
        <w:t>说</w:t>
      </w:r>
      <w:r>
        <w:rPr>
          <w:rFonts w:hint="eastAsia" w:ascii="黑体" w:hAnsi="宋体" w:eastAsia="黑体" w:cs="Times New Roman"/>
          <w:b/>
          <w:bCs w:val="0"/>
          <w:color w:val="auto"/>
          <w:sz w:val="72"/>
          <w:szCs w:val="72"/>
          <w:lang w:val="en-US" w:eastAsia="zh-CN"/>
        </w:rPr>
        <w:t xml:space="preserve"> </w:t>
      </w:r>
      <w:r>
        <w:rPr>
          <w:rFonts w:hint="eastAsia" w:ascii="黑体" w:hAnsi="宋体" w:eastAsia="黑体" w:cs="Times New Roman"/>
          <w:b/>
          <w:bCs w:val="0"/>
          <w:color w:val="auto"/>
          <w:sz w:val="72"/>
          <w:szCs w:val="72"/>
        </w:rPr>
        <w:t>明</w:t>
      </w:r>
      <w:r>
        <w:rPr>
          <w:rFonts w:hint="eastAsia" w:ascii="黑体" w:hAnsi="宋体" w:eastAsia="黑体" w:cs="Times New Roman"/>
          <w:b/>
          <w:bCs w:val="0"/>
          <w:color w:val="auto"/>
          <w:sz w:val="72"/>
          <w:szCs w:val="72"/>
          <w:lang w:val="en-US" w:eastAsia="zh-CN"/>
        </w:rPr>
        <w:t xml:space="preserve"> </w:t>
      </w:r>
      <w:r>
        <w:rPr>
          <w:rFonts w:hint="eastAsia" w:ascii="黑体" w:hAnsi="宋体" w:eastAsia="黑体" w:cs="Times New Roman"/>
          <w:b/>
          <w:bCs w:val="0"/>
          <w:color w:val="auto"/>
          <w:sz w:val="72"/>
          <w:szCs w:val="72"/>
        </w:rPr>
        <w:t>书</w:t>
      </w:r>
    </w:p>
    <w:p>
      <w:pPr>
        <w:spacing w:line="1000" w:lineRule="exact"/>
        <w:jc w:val="both"/>
        <w:rPr>
          <w:rFonts w:hint="default" w:ascii="黑体" w:hAnsi="华文中宋" w:eastAsia="黑体"/>
          <w:b/>
          <w:bCs w:val="0"/>
          <w:color w:val="auto"/>
          <w:sz w:val="30"/>
          <w:szCs w:val="30"/>
          <w:lang w:val="en-US"/>
        </w:rPr>
      </w:pPr>
    </w:p>
    <w:p>
      <w:pPr>
        <w:spacing w:line="1000" w:lineRule="exact"/>
        <w:jc w:val="both"/>
        <w:rPr>
          <w:rFonts w:hint="eastAsia" w:ascii="黑体" w:hAnsi="华文中宋" w:eastAsia="黑体"/>
          <w:b/>
          <w:bCs w:val="0"/>
          <w:color w:val="auto"/>
          <w:sz w:val="30"/>
          <w:szCs w:val="30"/>
          <w:lang w:val="en-US" w:eastAsia="zh-CN"/>
        </w:rPr>
      </w:pPr>
    </w:p>
    <w:p>
      <w:pPr>
        <w:spacing w:line="700" w:lineRule="exact"/>
        <w:ind w:firstLine="3238" w:firstLineChars="1008"/>
        <w:rPr>
          <w:rFonts w:hint="default" w:ascii="黑体" w:hAnsi="宋体" w:eastAsia="黑体"/>
          <w:b/>
          <w:bCs w:val="0"/>
          <w:color w:val="auto"/>
          <w:sz w:val="32"/>
          <w:szCs w:val="32"/>
          <w:lang w:val="en-US" w:eastAsia="zh-CN"/>
        </w:rPr>
      </w:pPr>
      <w:r>
        <w:rPr>
          <w:rFonts w:hint="eastAsia" w:ascii="黑体" w:hAnsi="宋体" w:eastAsia="黑体"/>
          <w:b/>
          <w:bCs w:val="0"/>
          <w:color w:val="auto"/>
          <w:sz w:val="32"/>
          <w:szCs w:val="32"/>
        </w:rPr>
        <w:t>工程编号：</w:t>
      </w:r>
      <w:r>
        <w:rPr>
          <w:rFonts w:hint="eastAsia" w:ascii="黑体" w:hAnsi="宋体" w:eastAsia="黑体"/>
          <w:b/>
          <w:bCs w:val="0"/>
          <w:color w:val="auto"/>
          <w:sz w:val="32"/>
          <w:szCs w:val="32"/>
          <w:lang w:val="en-US" w:eastAsia="zh-CN"/>
        </w:rPr>
        <w:t>C1126</w:t>
      </w:r>
    </w:p>
    <w:p>
      <w:pPr>
        <w:spacing w:line="700" w:lineRule="exact"/>
        <w:jc w:val="center"/>
        <w:rPr>
          <w:rFonts w:hint="eastAsia" w:ascii="黑体" w:hAnsi="宋体" w:eastAsia="黑体"/>
          <w:b/>
          <w:bCs w:val="0"/>
          <w:color w:val="auto"/>
          <w:sz w:val="32"/>
          <w:szCs w:val="32"/>
        </w:rPr>
      </w:pPr>
    </w:p>
    <w:p>
      <w:pPr>
        <w:pStyle w:val="34"/>
        <w:ind w:left="0" w:leftChars="0" w:firstLine="0" w:firstLineChars="0"/>
        <w:rPr>
          <w:rFonts w:hint="eastAsia" w:ascii="黑体" w:hAnsi="宋体" w:eastAsia="黑体"/>
          <w:b/>
          <w:bCs w:val="0"/>
          <w:color w:val="auto"/>
          <w:sz w:val="32"/>
          <w:szCs w:val="32"/>
        </w:rPr>
      </w:pPr>
    </w:p>
    <w:p>
      <w:pPr>
        <w:keepNext w:val="0"/>
        <w:keepLines w:val="0"/>
        <w:pageBreakBefore w:val="0"/>
        <w:tabs>
          <w:tab w:val="left" w:pos="3150"/>
          <w:tab w:val="left" w:pos="3570"/>
        </w:tabs>
        <w:kinsoku/>
        <w:wordWrap/>
        <w:overflowPunct/>
        <w:topLinePunct w:val="0"/>
        <w:autoSpaceDE/>
        <w:autoSpaceDN/>
        <w:bidi w:val="0"/>
        <w:adjustRightInd/>
        <w:spacing w:line="360" w:lineRule="auto"/>
        <w:jc w:val="center"/>
        <w:outlineLvl w:val="9"/>
        <w:rPr>
          <w:rFonts w:hint="default"/>
          <w:b/>
          <w:bCs w:val="0"/>
          <w:color w:val="auto"/>
          <w:lang w:val="en-US"/>
        </w:rPr>
      </w:pPr>
      <w:bookmarkStart w:id="4" w:name="_Toc22018"/>
      <w:r>
        <w:rPr>
          <w:rFonts w:hint="eastAsia" w:ascii="黑体" w:hAnsi="宋体" w:eastAsia="黑体"/>
          <w:b/>
          <w:bCs w:val="0"/>
          <w:color w:val="auto"/>
          <w:spacing w:val="32"/>
          <w:sz w:val="32"/>
          <w:szCs w:val="32"/>
          <w:lang w:val="en-US" w:eastAsia="zh-CN"/>
        </w:rPr>
        <w:t>执行董事</w:t>
      </w:r>
      <w:r>
        <w:rPr>
          <w:rFonts w:hint="eastAsia" w:ascii="黑体" w:hAnsi="宋体" w:eastAsia="黑体" w:cs="Times New Roman"/>
          <w:b/>
          <w:bCs w:val="0"/>
          <w:color w:val="auto"/>
          <w:sz w:val="32"/>
          <w:szCs w:val="32"/>
          <w:lang w:val="en-US" w:eastAsia="zh-CN"/>
        </w:rPr>
        <w:t>：</w:t>
      </w:r>
      <w:bookmarkEnd w:id="4"/>
      <w:r>
        <w:rPr>
          <w:rFonts w:hint="eastAsia" w:ascii="黑体" w:hAnsi="宋体" w:eastAsia="黑体" w:cs="Times New Roman"/>
          <w:b/>
          <w:bCs w:val="0"/>
          <w:color w:val="auto"/>
          <w:sz w:val="32"/>
          <w:szCs w:val="32"/>
          <w:lang w:val="en-US" w:eastAsia="zh-CN"/>
        </w:rPr>
        <w:t>尚文斌</w:t>
      </w:r>
    </w:p>
    <w:p>
      <w:pPr>
        <w:keepNext w:val="0"/>
        <w:keepLines w:val="0"/>
        <w:pageBreakBefore w:val="0"/>
        <w:tabs>
          <w:tab w:val="left" w:pos="3150"/>
          <w:tab w:val="left" w:pos="3570"/>
        </w:tabs>
        <w:kinsoku/>
        <w:wordWrap/>
        <w:overflowPunct/>
        <w:topLinePunct w:val="0"/>
        <w:autoSpaceDE/>
        <w:autoSpaceDN/>
        <w:bidi w:val="0"/>
        <w:adjustRightInd/>
        <w:spacing w:line="360" w:lineRule="auto"/>
        <w:jc w:val="center"/>
        <w:outlineLvl w:val="9"/>
        <w:rPr>
          <w:rFonts w:hint="eastAsia" w:ascii="黑体" w:hAnsi="宋体" w:eastAsia="黑体"/>
          <w:b/>
          <w:bCs w:val="0"/>
          <w:color w:val="auto"/>
          <w:sz w:val="32"/>
          <w:szCs w:val="32"/>
        </w:rPr>
      </w:pPr>
      <w:bookmarkStart w:id="5" w:name="_Toc6859"/>
      <w:bookmarkStart w:id="6" w:name="_Toc23736"/>
      <w:r>
        <w:rPr>
          <w:rFonts w:hint="eastAsia" w:ascii="黑体" w:hAnsi="宋体" w:eastAsia="黑体"/>
          <w:b/>
          <w:bCs w:val="0"/>
          <w:color w:val="auto"/>
          <w:sz w:val="32"/>
          <w:szCs w:val="32"/>
        </w:rPr>
        <w:t xml:space="preserve">经    </w:t>
      </w:r>
      <w:r>
        <w:rPr>
          <w:rFonts w:hint="eastAsia" w:ascii="黑体" w:hAnsi="宋体" w:eastAsia="黑体"/>
          <w:b/>
          <w:bCs w:val="0"/>
          <w:color w:val="auto"/>
          <w:sz w:val="24"/>
          <w:szCs w:val="24"/>
        </w:rPr>
        <w:t xml:space="preserve">  </w:t>
      </w:r>
      <w:r>
        <w:rPr>
          <w:rFonts w:hint="eastAsia" w:ascii="黑体" w:hAnsi="宋体" w:eastAsia="黑体"/>
          <w:b/>
          <w:bCs w:val="0"/>
          <w:color w:val="auto"/>
          <w:sz w:val="32"/>
          <w:szCs w:val="32"/>
        </w:rPr>
        <w:t>理：</w:t>
      </w:r>
      <w:r>
        <w:rPr>
          <w:rFonts w:hint="eastAsia" w:ascii="黑体" w:hAnsi="宋体" w:eastAsia="黑体" w:cs="Times New Roman"/>
          <w:b/>
          <w:bCs w:val="0"/>
          <w:color w:val="auto"/>
          <w:sz w:val="32"/>
          <w:szCs w:val="32"/>
          <w:lang w:val="en-US" w:eastAsia="zh-CN"/>
        </w:rPr>
        <w:t>张治璞</w:t>
      </w:r>
      <w:bookmarkEnd w:id="5"/>
      <w:bookmarkEnd w:id="6"/>
    </w:p>
    <w:p>
      <w:pPr>
        <w:keepNext w:val="0"/>
        <w:keepLines w:val="0"/>
        <w:pageBreakBefore w:val="0"/>
        <w:tabs>
          <w:tab w:val="left" w:pos="3570"/>
        </w:tabs>
        <w:kinsoku/>
        <w:wordWrap/>
        <w:overflowPunct/>
        <w:topLinePunct w:val="0"/>
        <w:autoSpaceDE/>
        <w:autoSpaceDN/>
        <w:bidi w:val="0"/>
        <w:adjustRightInd/>
        <w:spacing w:line="360" w:lineRule="auto"/>
        <w:jc w:val="center"/>
        <w:outlineLvl w:val="9"/>
        <w:rPr>
          <w:rFonts w:hint="eastAsia" w:ascii="黑体" w:hAnsi="宋体" w:eastAsia="黑体"/>
          <w:b/>
          <w:bCs w:val="0"/>
          <w:color w:val="auto"/>
          <w:sz w:val="32"/>
          <w:szCs w:val="32"/>
        </w:rPr>
      </w:pPr>
      <w:bookmarkStart w:id="7" w:name="_Toc15665"/>
      <w:r>
        <w:rPr>
          <w:rFonts w:hint="eastAsia" w:ascii="黑体" w:hAnsi="宋体" w:eastAsia="黑体"/>
          <w:b/>
          <w:bCs w:val="0"/>
          <w:color w:val="auto"/>
          <w:spacing w:val="32"/>
          <w:sz w:val="32"/>
          <w:szCs w:val="32"/>
        </w:rPr>
        <w:t>总工程师</w:t>
      </w:r>
      <w:r>
        <w:rPr>
          <w:rFonts w:hint="eastAsia" w:ascii="黑体" w:hAnsi="宋体" w:eastAsia="黑体"/>
          <w:b/>
          <w:bCs w:val="0"/>
          <w:color w:val="auto"/>
          <w:sz w:val="32"/>
          <w:szCs w:val="32"/>
        </w:rPr>
        <w:t>：齐光辉</w:t>
      </w:r>
      <w:bookmarkEnd w:id="7"/>
    </w:p>
    <w:p>
      <w:pPr>
        <w:keepNext w:val="0"/>
        <w:keepLines w:val="0"/>
        <w:pageBreakBefore w:val="0"/>
        <w:tabs>
          <w:tab w:val="left" w:pos="3150"/>
          <w:tab w:val="left" w:pos="3570"/>
        </w:tabs>
        <w:kinsoku/>
        <w:wordWrap/>
        <w:overflowPunct/>
        <w:topLinePunct w:val="0"/>
        <w:autoSpaceDE/>
        <w:autoSpaceDN/>
        <w:bidi w:val="0"/>
        <w:adjustRightInd/>
        <w:spacing w:line="360" w:lineRule="auto"/>
        <w:jc w:val="center"/>
        <w:outlineLvl w:val="9"/>
        <w:rPr>
          <w:rFonts w:hint="default" w:ascii="黑体" w:hAnsi="宋体" w:eastAsia="黑体"/>
          <w:b/>
          <w:bCs w:val="0"/>
          <w:color w:val="auto"/>
          <w:sz w:val="36"/>
          <w:szCs w:val="36"/>
          <w:lang w:val="en-US" w:eastAsia="zh-CN"/>
        </w:rPr>
      </w:pPr>
      <w:bookmarkStart w:id="8" w:name="_Toc23024"/>
      <w:r>
        <w:rPr>
          <w:rFonts w:hint="eastAsia" w:ascii="黑体" w:hAnsi="宋体" w:eastAsia="黑体"/>
          <w:b/>
          <w:bCs w:val="0"/>
          <w:color w:val="auto"/>
          <w:sz w:val="32"/>
          <w:szCs w:val="32"/>
        </w:rPr>
        <w:t>项目负责人：</w:t>
      </w:r>
      <w:bookmarkEnd w:id="8"/>
      <w:r>
        <w:rPr>
          <w:rFonts w:hint="eastAsia" w:ascii="黑体" w:hAnsi="宋体" w:eastAsia="黑体"/>
          <w:b/>
          <w:bCs w:val="0"/>
          <w:color w:val="auto"/>
          <w:sz w:val="32"/>
          <w:szCs w:val="32"/>
          <w:lang w:val="en-US" w:eastAsia="zh-CN"/>
        </w:rPr>
        <w:t>龚真鹏</w:t>
      </w:r>
    </w:p>
    <w:p>
      <w:pPr>
        <w:pStyle w:val="34"/>
        <w:ind w:left="0" w:leftChars="0" w:firstLine="0" w:firstLineChars="0"/>
        <w:rPr>
          <w:rFonts w:hint="eastAsia" w:ascii="黑体" w:eastAsia="黑体"/>
          <w:b/>
          <w:bCs w:val="0"/>
          <w:color w:val="auto"/>
          <w:sz w:val="32"/>
        </w:rPr>
      </w:pPr>
    </w:p>
    <w:p>
      <w:pPr>
        <w:pStyle w:val="12"/>
        <w:ind w:left="0" w:leftChars="0" w:firstLine="0" w:firstLineChars="0"/>
        <w:rPr>
          <w:rFonts w:hint="eastAsia"/>
          <w:b/>
          <w:bCs w:val="0"/>
          <w:color w:val="auto"/>
        </w:rPr>
      </w:pPr>
    </w:p>
    <w:p>
      <w:pPr>
        <w:rPr>
          <w:rFonts w:hint="eastAsia"/>
          <w:color w:val="auto"/>
        </w:rPr>
      </w:pPr>
    </w:p>
    <w:p>
      <w:pPr>
        <w:pStyle w:val="34"/>
        <w:ind w:left="0" w:leftChars="0" w:firstLine="0" w:firstLineChars="0"/>
        <w:rPr>
          <w:rFonts w:hint="eastAsia" w:ascii="黑体" w:eastAsia="黑体"/>
          <w:b/>
          <w:bCs w:val="0"/>
          <w:color w:val="auto"/>
          <w:sz w:val="32"/>
        </w:rPr>
      </w:pPr>
    </w:p>
    <w:p>
      <w:pPr>
        <w:pStyle w:val="17"/>
        <w:rPr>
          <w:rFonts w:hint="eastAsia"/>
          <w:color w:val="auto"/>
        </w:rPr>
      </w:pPr>
    </w:p>
    <w:p>
      <w:pPr>
        <w:tabs>
          <w:tab w:val="left" w:pos="3480"/>
        </w:tabs>
        <w:spacing w:line="600" w:lineRule="exact"/>
        <w:jc w:val="center"/>
        <w:rPr>
          <w:rFonts w:hint="eastAsia" w:ascii="黑体" w:hAnsi="宋体" w:eastAsia="黑体"/>
          <w:b/>
          <w:bCs w:val="0"/>
          <w:color w:val="auto"/>
          <w:sz w:val="36"/>
          <w:szCs w:val="36"/>
        </w:rPr>
      </w:pPr>
      <w:r>
        <w:rPr>
          <w:rFonts w:hint="eastAsia" w:ascii="黑体" w:hAnsi="宋体" w:eastAsia="黑体"/>
          <w:b/>
          <w:bCs w:val="0"/>
          <w:color w:val="auto"/>
          <w:sz w:val="36"/>
          <w:szCs w:val="36"/>
        </w:rPr>
        <w:t>靖远煤业工程勘察设计有限公司</w:t>
      </w:r>
    </w:p>
    <w:p>
      <w:pPr>
        <w:spacing w:line="600" w:lineRule="exact"/>
        <w:jc w:val="center"/>
        <w:rPr>
          <w:rFonts w:hint="eastAsia" w:ascii="黑体" w:hAnsi="宋体" w:eastAsia="黑体"/>
          <w:b/>
          <w:color w:val="auto"/>
          <w:sz w:val="36"/>
          <w:szCs w:val="36"/>
          <w:lang w:val="en-US" w:eastAsia="zh-CN"/>
        </w:rPr>
      </w:pPr>
      <w:r>
        <w:rPr>
          <w:rFonts w:hint="eastAsia" w:ascii="黑体" w:hAnsi="宋体" w:eastAsia="黑体"/>
          <w:b/>
          <w:bCs w:val="0"/>
          <w:color w:val="auto"/>
          <w:sz w:val="36"/>
          <w:szCs w:val="36"/>
        </w:rPr>
        <w:t>二○</w:t>
      </w:r>
      <w:r>
        <w:rPr>
          <w:rFonts w:hint="eastAsia" w:ascii="黑体" w:hAnsi="宋体" w:eastAsia="黑体"/>
          <w:b/>
          <w:bCs w:val="0"/>
          <w:color w:val="auto"/>
          <w:sz w:val="36"/>
          <w:szCs w:val="36"/>
          <w:lang w:val="en-US" w:eastAsia="zh-CN"/>
        </w:rPr>
        <w:t>二六</w:t>
      </w:r>
      <w:r>
        <w:rPr>
          <w:rFonts w:hint="eastAsia" w:ascii="黑体" w:hAnsi="宋体" w:eastAsia="黑体"/>
          <w:b/>
          <w:bCs w:val="0"/>
          <w:color w:val="auto"/>
          <w:sz w:val="36"/>
          <w:szCs w:val="36"/>
        </w:rPr>
        <w:t>年</w:t>
      </w:r>
      <w:r>
        <w:rPr>
          <w:rFonts w:hint="eastAsia" w:ascii="黑体" w:hAnsi="宋体" w:eastAsia="黑体"/>
          <w:b/>
          <w:bCs w:val="0"/>
          <w:color w:val="auto"/>
          <w:sz w:val="36"/>
          <w:szCs w:val="36"/>
          <w:lang w:val="en-US" w:eastAsia="zh-CN"/>
        </w:rPr>
        <w:t>三</w:t>
      </w:r>
      <w:r>
        <w:rPr>
          <w:rFonts w:hint="eastAsia" w:ascii="黑体" w:hAnsi="宋体" w:eastAsia="黑体"/>
          <w:b/>
          <w:bCs w:val="0"/>
          <w:color w:val="auto"/>
          <w:sz w:val="36"/>
          <w:szCs w:val="36"/>
        </w:rPr>
        <w:t>月</w:t>
      </w:r>
      <w:r>
        <w:rPr>
          <w:rFonts w:hint="eastAsia" w:ascii="黑体" w:hAnsi="宋体" w:eastAsia="黑体"/>
          <w:b/>
          <w:color w:val="auto"/>
          <w:sz w:val="36"/>
          <w:szCs w:val="36"/>
          <w:lang w:val="en-US" w:eastAsia="zh-CN"/>
        </w:rPr>
        <w:t xml:space="preserve">       </w:t>
      </w:r>
    </w:p>
    <w:p>
      <w:pPr>
        <w:spacing w:line="600" w:lineRule="exact"/>
        <w:jc w:val="center"/>
        <w:rPr>
          <w:rFonts w:hint="eastAsia" w:ascii="黑体" w:hAnsi="宋体" w:eastAsia="黑体"/>
          <w:b/>
          <w:color w:val="auto"/>
          <w:sz w:val="36"/>
          <w:szCs w:val="36"/>
          <w:lang w:val="en-US" w:eastAsia="zh-CN"/>
        </w:rPr>
      </w:pPr>
    </w:p>
    <w:p>
      <w:pPr>
        <w:spacing w:line="600" w:lineRule="exact"/>
        <w:jc w:val="center"/>
        <w:rPr>
          <w:rFonts w:hint="eastAsia" w:ascii="黑体" w:hAnsi="宋体" w:eastAsia="黑体"/>
          <w:b/>
          <w:color w:val="auto"/>
          <w:sz w:val="36"/>
          <w:szCs w:val="36"/>
          <w:lang w:val="en-US" w:eastAsia="zh-CN"/>
        </w:rPr>
      </w:pPr>
    </w:p>
    <w:p>
      <w:pPr>
        <w:pStyle w:val="17"/>
        <w:rPr>
          <w:color w:val="auto"/>
        </w:rPr>
        <w:sectPr>
          <w:pgSz w:w="11906" w:h="16838"/>
          <w:pgMar w:top="1417" w:right="1417" w:bottom="1417" w:left="141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400" w:lineRule="exact"/>
        <w:ind w:firstLine="3174" w:firstLineChars="1054"/>
        <w:textAlignment w:val="auto"/>
        <w:rPr>
          <w:rFonts w:hint="eastAsia" w:ascii="黑体" w:eastAsia="黑体"/>
          <w:b/>
          <w:color w:val="auto"/>
          <w:sz w:val="30"/>
          <w:szCs w:val="30"/>
        </w:rPr>
      </w:pPr>
      <w:r>
        <w:rPr>
          <w:rFonts w:hint="eastAsia" w:ascii="黑体" w:eastAsia="黑体"/>
          <w:b/>
          <w:color w:val="auto"/>
          <w:sz w:val="30"/>
          <w:szCs w:val="30"/>
        </w:rPr>
        <w:t>审 定 人 员 名 单</w:t>
      </w:r>
    </w:p>
    <w:tbl>
      <w:tblPr>
        <w:tblStyle w:val="25"/>
        <w:tblW w:w="923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993"/>
        <w:gridCol w:w="1790"/>
        <w:gridCol w:w="1605"/>
        <w:gridCol w:w="1830"/>
        <w:gridCol w:w="3013"/>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55" w:hRule="exact"/>
        </w:trPr>
        <w:tc>
          <w:tcPr>
            <w:tcW w:w="99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专  业</w:t>
            </w:r>
          </w:p>
        </w:tc>
        <w:tc>
          <w:tcPr>
            <w:tcW w:w="17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姓  名</w:t>
            </w:r>
          </w:p>
        </w:tc>
        <w:tc>
          <w:tcPr>
            <w:tcW w:w="1605"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color w:val="auto"/>
                <w:sz w:val="24"/>
                <w:lang w:val="en-US" w:eastAsia="zh-CN"/>
              </w:rPr>
            </w:pPr>
            <w:r>
              <w:rPr>
                <w:rFonts w:hint="eastAsia" w:ascii="楷体_GB2312" w:eastAsia="楷体_GB2312"/>
                <w:color w:val="auto"/>
                <w:sz w:val="24"/>
                <w:lang w:val="en-US" w:eastAsia="zh-CN"/>
              </w:rPr>
              <w:t>签  名</w:t>
            </w: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职  称</w:t>
            </w:r>
          </w:p>
        </w:tc>
        <w:tc>
          <w:tcPr>
            <w:tcW w:w="301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ascii="楷体_GB2312" w:eastAsia="楷体_GB2312"/>
                <w:iCs/>
                <w:color w:val="auto"/>
                <w:sz w:val="24"/>
              </w:rPr>
            </w:pPr>
            <w:r>
              <w:rPr>
                <w:rFonts w:hint="eastAsia" w:ascii="楷体_GB2312" w:eastAsia="楷体_GB2312"/>
                <w:iCs/>
                <w:color w:val="auto"/>
                <w:sz w:val="24"/>
              </w:rPr>
              <w:t>职  务</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55" w:hRule="exact"/>
        </w:trPr>
        <w:tc>
          <w:tcPr>
            <w:tcW w:w="99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default" w:ascii="楷体_GB2312" w:eastAsia="楷体_GB2312"/>
                <w:color w:val="auto"/>
                <w:sz w:val="24"/>
                <w:lang w:val="en-US" w:eastAsia="zh-CN"/>
              </w:rPr>
            </w:pPr>
            <w:r>
              <w:rPr>
                <w:rFonts w:hint="eastAsia" w:ascii="楷体_GB2312" w:eastAsia="楷体_GB2312"/>
                <w:color w:val="auto"/>
                <w:sz w:val="24"/>
                <w:lang w:val="en-US" w:eastAsia="zh-CN"/>
              </w:rPr>
              <w:t>采 矿</w:t>
            </w:r>
          </w:p>
        </w:tc>
        <w:tc>
          <w:tcPr>
            <w:tcW w:w="17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default" w:ascii="楷体_GB2312" w:eastAsia="楷体_GB2312"/>
                <w:color w:val="auto"/>
                <w:sz w:val="24"/>
                <w:lang w:val="en-US" w:eastAsia="zh-CN"/>
              </w:rPr>
            </w:pPr>
            <w:r>
              <w:rPr>
                <w:rFonts w:hint="eastAsia" w:ascii="楷体_GB2312" w:eastAsia="楷体_GB2312"/>
                <w:color w:val="auto"/>
                <w:sz w:val="24"/>
                <w:lang w:val="en-US" w:eastAsia="zh-CN"/>
              </w:rPr>
              <w:t>尚文斌</w:t>
            </w:r>
          </w:p>
        </w:tc>
        <w:tc>
          <w:tcPr>
            <w:tcW w:w="1605"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color w:val="auto"/>
                <w:sz w:val="24"/>
              </w:rPr>
            </w:pP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default" w:ascii="楷体_GB2312" w:eastAsia="楷体_GB2312"/>
                <w:color w:val="auto"/>
                <w:sz w:val="24"/>
                <w:lang w:val="en-US" w:eastAsia="zh-CN"/>
              </w:rPr>
            </w:pPr>
            <w:r>
              <w:rPr>
                <w:rFonts w:hint="eastAsia" w:ascii="楷体_GB2312" w:eastAsia="楷体_GB2312"/>
                <w:color w:val="auto"/>
                <w:sz w:val="24"/>
                <w:lang w:val="en-US" w:eastAsia="zh-CN"/>
              </w:rPr>
              <w:t>高级工程师</w:t>
            </w:r>
          </w:p>
        </w:tc>
        <w:tc>
          <w:tcPr>
            <w:tcW w:w="301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iCs/>
                <w:color w:val="auto"/>
                <w:sz w:val="24"/>
                <w:lang w:val="en-US" w:eastAsia="zh-CN"/>
              </w:rPr>
            </w:pPr>
            <w:r>
              <w:rPr>
                <w:rFonts w:hint="eastAsia" w:ascii="楷体_GB2312" w:eastAsia="楷体_GB2312"/>
                <w:iCs/>
                <w:color w:val="auto"/>
                <w:sz w:val="24"/>
                <w:lang w:val="en-US" w:eastAsia="zh-CN"/>
              </w:rPr>
              <w:t>执行董事</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55" w:hRule="exact"/>
        </w:trPr>
        <w:tc>
          <w:tcPr>
            <w:tcW w:w="993" w:type="dxa"/>
            <w:tcBorders>
              <w:top w:val="single" w:color="000000" w:sz="6" w:space="0"/>
              <w:left w:val="single" w:color="000000" w:sz="6" w:space="0"/>
              <w:bottom w:val="single" w:color="000000" w:sz="6" w:space="0"/>
              <w:right w:val="single" w:color="000000" w:sz="6"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eastAsia="楷体_GB2312"/>
                <w:color w:val="auto"/>
                <w:sz w:val="24"/>
                <w:lang w:val="en-US" w:eastAsia="zh-CN"/>
              </w:rPr>
              <w:t>机 电</w:t>
            </w:r>
          </w:p>
        </w:tc>
        <w:tc>
          <w:tcPr>
            <w:tcW w:w="1790" w:type="dxa"/>
            <w:tcBorders>
              <w:top w:val="single" w:color="000000" w:sz="6" w:space="0"/>
              <w:left w:val="single" w:color="000000" w:sz="6" w:space="0"/>
              <w:bottom w:val="single" w:color="000000" w:sz="6" w:space="0"/>
              <w:right w:val="single" w:color="000000" w:sz="6"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eastAsia="楷体_GB2312"/>
                <w:color w:val="auto"/>
                <w:sz w:val="24"/>
                <w:lang w:val="en-US" w:eastAsia="zh-CN"/>
              </w:rPr>
              <w:t>张治璞</w:t>
            </w:r>
          </w:p>
        </w:tc>
        <w:tc>
          <w:tcPr>
            <w:tcW w:w="1605" w:type="dxa"/>
            <w:tcBorders>
              <w:top w:val="single" w:color="000000" w:sz="6" w:space="0"/>
              <w:left w:val="single" w:color="000000" w:sz="6" w:space="0"/>
              <w:bottom w:val="single" w:color="000000" w:sz="6" w:space="0"/>
              <w:right w:val="single" w:color="000000" w:sz="6"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p>
        </w:tc>
        <w:tc>
          <w:tcPr>
            <w:tcW w:w="1830" w:type="dxa"/>
            <w:tcBorders>
              <w:top w:val="single" w:color="000000" w:sz="6" w:space="0"/>
              <w:left w:val="single" w:color="000000" w:sz="6" w:space="0"/>
              <w:bottom w:val="single" w:color="000000" w:sz="6" w:space="0"/>
              <w:right w:val="single" w:color="000000" w:sz="6"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eastAsia="楷体_GB2312"/>
                <w:color w:val="auto"/>
                <w:sz w:val="24"/>
                <w:lang w:val="en-US" w:eastAsia="zh-CN"/>
              </w:rPr>
              <w:t>高级工程师</w:t>
            </w:r>
          </w:p>
        </w:tc>
        <w:tc>
          <w:tcPr>
            <w:tcW w:w="3013" w:type="dxa"/>
            <w:tcBorders>
              <w:top w:val="single" w:color="000000" w:sz="6" w:space="0"/>
              <w:left w:val="single" w:color="000000" w:sz="6" w:space="0"/>
              <w:bottom w:val="single" w:color="000000" w:sz="6" w:space="0"/>
              <w:right w:val="single" w:color="000000" w:sz="6" w:space="0"/>
            </w:tcBorders>
            <w:shd w:val="clear" w:color="auto" w:fill="auto"/>
            <w:noWrap w:val="0"/>
            <w:vAlign w:val="center"/>
          </w:tcPr>
          <w:p>
            <w:pPr>
              <w:spacing w:line="300" w:lineRule="exact"/>
              <w:jc w:val="center"/>
              <w:rPr>
                <w:rFonts w:hint="eastAsia" w:ascii="楷体_GB2312" w:hAnsi="Times New Roman" w:eastAsia="楷体_GB2312" w:cs="Times New Roman"/>
                <w:iCs/>
                <w:color w:val="auto"/>
                <w:kern w:val="2"/>
                <w:sz w:val="24"/>
                <w:szCs w:val="24"/>
                <w:lang w:val="en-US" w:eastAsia="zh-CN" w:bidi="ar-SA"/>
              </w:rPr>
            </w:pPr>
            <w:r>
              <w:rPr>
                <w:rFonts w:hint="eastAsia" w:ascii="楷体_GB2312" w:eastAsia="楷体_GB2312"/>
                <w:iCs/>
                <w:color w:val="auto"/>
                <w:sz w:val="24"/>
              </w:rPr>
              <w:t>经  理</w:t>
            </w:r>
          </w:p>
        </w:tc>
      </w:tr>
    </w:tbl>
    <w:p>
      <w:pPr>
        <w:spacing w:before="120" w:beforeLines="50" w:line="560" w:lineRule="exact"/>
        <w:ind w:firstLine="3174" w:firstLineChars="1054"/>
        <w:rPr>
          <w:rFonts w:hint="eastAsia" w:ascii="黑体" w:eastAsia="黑体"/>
          <w:b/>
          <w:color w:val="auto"/>
          <w:sz w:val="30"/>
          <w:szCs w:val="30"/>
        </w:rPr>
      </w:pPr>
      <w:r>
        <w:rPr>
          <w:rFonts w:hint="eastAsia" w:ascii="黑体" w:eastAsia="黑体"/>
          <w:b/>
          <w:color w:val="auto"/>
          <w:sz w:val="30"/>
          <w:szCs w:val="30"/>
        </w:rPr>
        <w:t>审 核 人 员 名 单</w:t>
      </w:r>
    </w:p>
    <w:tbl>
      <w:tblPr>
        <w:tblStyle w:val="25"/>
        <w:tblW w:w="9241"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961"/>
        <w:gridCol w:w="1837"/>
        <w:gridCol w:w="1590"/>
        <w:gridCol w:w="1830"/>
        <w:gridCol w:w="3023"/>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5" w:hRule="exact"/>
        </w:trPr>
        <w:tc>
          <w:tcPr>
            <w:tcW w:w="961" w:type="dxa"/>
            <w:tcBorders>
              <w:top w:val="single" w:color="000000" w:sz="6" w:space="0"/>
              <w:left w:val="single" w:color="000000" w:sz="6" w:space="0"/>
              <w:bottom w:val="single" w:color="auto" w:sz="4" w:space="0"/>
              <w:right w:val="single" w:color="000000" w:sz="6"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专  业</w:t>
            </w:r>
          </w:p>
        </w:tc>
        <w:tc>
          <w:tcPr>
            <w:tcW w:w="1837"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姓  名</w:t>
            </w:r>
          </w:p>
        </w:tc>
        <w:tc>
          <w:tcPr>
            <w:tcW w:w="15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color w:val="auto"/>
                <w:sz w:val="24"/>
                <w:lang w:val="en-US" w:eastAsia="zh-CN"/>
              </w:rPr>
            </w:pPr>
            <w:r>
              <w:rPr>
                <w:rFonts w:hint="eastAsia" w:ascii="楷体_GB2312" w:eastAsia="楷体_GB2312"/>
                <w:color w:val="auto"/>
                <w:sz w:val="24"/>
                <w:lang w:val="en-US" w:eastAsia="zh-CN"/>
              </w:rPr>
              <w:t>签  名</w:t>
            </w: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职  称</w:t>
            </w:r>
          </w:p>
        </w:tc>
        <w:tc>
          <w:tcPr>
            <w:tcW w:w="302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iCs/>
                <w:color w:val="auto"/>
                <w:sz w:val="24"/>
              </w:rPr>
            </w:pPr>
            <w:r>
              <w:rPr>
                <w:rFonts w:hint="eastAsia" w:ascii="楷体_GB2312" w:eastAsia="楷体_GB2312"/>
                <w:iCs/>
                <w:color w:val="auto"/>
                <w:sz w:val="24"/>
              </w:rPr>
              <w:t>职  务</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5" w:hRule="exact"/>
        </w:trPr>
        <w:tc>
          <w:tcPr>
            <w:tcW w:w="961" w:type="dxa"/>
            <w:tcBorders>
              <w:top w:val="single" w:color="auto" w:sz="4" w:space="0"/>
              <w:left w:val="single" w:color="000000" w:sz="6" w:space="0"/>
              <w:bottom w:val="single" w:color="auto" w:sz="4" w:space="0"/>
              <w:right w:val="single" w:color="000000" w:sz="6" w:space="0"/>
            </w:tcBorders>
            <w:noWrap w:val="0"/>
            <w:vAlign w:val="center"/>
          </w:tcPr>
          <w:p>
            <w:pPr>
              <w:spacing w:line="300" w:lineRule="exact"/>
              <w:jc w:val="center"/>
              <w:rPr>
                <w:rFonts w:hint="eastAsia" w:ascii="楷体_GB2312" w:eastAsia="楷体_GB2312"/>
                <w:color w:val="auto"/>
                <w:kern w:val="2"/>
                <w:sz w:val="24"/>
                <w:szCs w:val="24"/>
                <w:lang w:val="en-US" w:eastAsia="zh-CN" w:bidi="ar-SA"/>
              </w:rPr>
            </w:pPr>
            <w:r>
              <w:rPr>
                <w:rFonts w:hint="eastAsia" w:ascii="楷体_GB2312" w:eastAsia="楷体_GB2312"/>
                <w:color w:val="auto"/>
                <w:sz w:val="24"/>
                <w:lang w:val="en-US" w:eastAsia="zh-CN"/>
              </w:rPr>
              <w:t>矿 建</w:t>
            </w:r>
          </w:p>
        </w:tc>
        <w:tc>
          <w:tcPr>
            <w:tcW w:w="1837"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color w:val="auto"/>
                <w:kern w:val="2"/>
                <w:sz w:val="24"/>
                <w:szCs w:val="24"/>
                <w:lang w:val="en-US" w:eastAsia="zh-CN" w:bidi="ar-SA"/>
              </w:rPr>
            </w:pPr>
            <w:r>
              <w:rPr>
                <w:rFonts w:hint="eastAsia" w:ascii="楷体_GB2312" w:eastAsia="楷体_GB2312"/>
                <w:color w:val="auto"/>
                <w:sz w:val="24"/>
              </w:rPr>
              <w:t>齐光辉</w:t>
            </w:r>
          </w:p>
        </w:tc>
        <w:tc>
          <w:tcPr>
            <w:tcW w:w="15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color w:val="auto"/>
                <w:kern w:val="2"/>
                <w:sz w:val="24"/>
                <w:szCs w:val="24"/>
                <w:lang w:val="en-US" w:eastAsia="zh-CN" w:bidi="ar-SA"/>
              </w:rPr>
            </w:pP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color w:val="auto"/>
                <w:kern w:val="2"/>
                <w:sz w:val="24"/>
                <w:szCs w:val="24"/>
                <w:lang w:val="en-US" w:eastAsia="zh-CN" w:bidi="ar-SA"/>
              </w:rPr>
            </w:pPr>
            <w:r>
              <w:rPr>
                <w:rFonts w:hint="eastAsia" w:ascii="楷体_GB2312" w:eastAsia="楷体_GB2312"/>
                <w:color w:val="auto"/>
                <w:sz w:val="24"/>
              </w:rPr>
              <w:t>高级工程师</w:t>
            </w:r>
          </w:p>
        </w:tc>
        <w:tc>
          <w:tcPr>
            <w:tcW w:w="302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eastAsia="楷体_GB2312"/>
                <w:iCs/>
                <w:color w:val="auto"/>
                <w:kern w:val="2"/>
                <w:sz w:val="24"/>
                <w:szCs w:val="24"/>
                <w:lang w:val="en-US" w:eastAsia="zh-CN" w:bidi="ar-SA"/>
              </w:rPr>
            </w:pPr>
            <w:r>
              <w:rPr>
                <w:rFonts w:hint="eastAsia" w:ascii="楷体_GB2312" w:eastAsia="楷体_GB2312"/>
                <w:iCs/>
                <w:color w:val="auto"/>
                <w:sz w:val="24"/>
              </w:rPr>
              <w:t>总工程师</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5" w:hRule="exact"/>
        </w:trPr>
        <w:tc>
          <w:tcPr>
            <w:tcW w:w="961" w:type="dxa"/>
            <w:tcBorders>
              <w:top w:val="single" w:color="auto" w:sz="4" w:space="0"/>
              <w:left w:val="single" w:color="000000" w:sz="6" w:space="0"/>
              <w:bottom w:val="single" w:color="auto" w:sz="4"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hAnsi="Times New Roman" w:eastAsia="楷体_GB2312" w:cs="Times New Roman"/>
                <w:color w:val="auto"/>
                <w:sz w:val="24"/>
                <w:lang w:val="en-US" w:eastAsia="zh-CN"/>
              </w:rPr>
              <w:t>采 矿</w:t>
            </w:r>
          </w:p>
        </w:tc>
        <w:tc>
          <w:tcPr>
            <w:tcW w:w="1837"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eastAsia="楷体_GB2312" w:cs="Times New Roman"/>
                <w:color w:val="auto"/>
                <w:sz w:val="24"/>
                <w:lang w:val="en-US" w:eastAsia="zh-CN"/>
              </w:rPr>
              <w:t>赵总彦</w:t>
            </w:r>
          </w:p>
        </w:tc>
        <w:tc>
          <w:tcPr>
            <w:tcW w:w="15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hAnsi="Times New Roman" w:eastAsia="楷体_GB2312" w:cs="Times New Roman"/>
                <w:color w:val="auto"/>
                <w:sz w:val="24"/>
              </w:rPr>
              <w:t>高级工程师</w:t>
            </w:r>
          </w:p>
        </w:tc>
        <w:tc>
          <w:tcPr>
            <w:tcW w:w="302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eastAsia="楷体_GB2312"/>
                <w:color w:val="auto"/>
                <w:sz w:val="24"/>
                <w:lang w:val="en-US" w:eastAsia="zh-CN"/>
              </w:rPr>
              <w:t>副经理</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5" w:hRule="exact"/>
        </w:trPr>
        <w:tc>
          <w:tcPr>
            <w:tcW w:w="961" w:type="dxa"/>
            <w:tcBorders>
              <w:top w:val="single" w:color="auto" w:sz="4" w:space="0"/>
              <w:left w:val="single" w:color="000000" w:sz="6" w:space="0"/>
              <w:bottom w:val="single" w:color="auto" w:sz="4"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hAnsi="Times New Roman" w:eastAsia="楷体_GB2312" w:cs="Times New Roman"/>
                <w:color w:val="auto"/>
                <w:sz w:val="24"/>
                <w:lang w:val="en-US" w:eastAsia="zh-CN"/>
              </w:rPr>
              <w:t>采 矿</w:t>
            </w:r>
          </w:p>
        </w:tc>
        <w:tc>
          <w:tcPr>
            <w:tcW w:w="1837"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hAnsi="Times New Roman" w:eastAsia="楷体_GB2312" w:cs="Times New Roman"/>
                <w:color w:val="auto"/>
                <w:sz w:val="24"/>
              </w:rPr>
              <w:t>龚真鹏</w:t>
            </w:r>
          </w:p>
        </w:tc>
        <w:tc>
          <w:tcPr>
            <w:tcW w:w="15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hAnsi="Times New Roman" w:eastAsia="楷体_GB2312" w:cs="Times New Roman"/>
                <w:color w:val="auto"/>
                <w:sz w:val="24"/>
              </w:rPr>
              <w:t>高级工程师</w:t>
            </w:r>
          </w:p>
        </w:tc>
        <w:tc>
          <w:tcPr>
            <w:tcW w:w="302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rPr>
            </w:pPr>
            <w:r>
              <w:rPr>
                <w:rFonts w:hint="eastAsia" w:ascii="楷体_GB2312" w:eastAsia="楷体_GB2312"/>
                <w:color w:val="auto"/>
                <w:sz w:val="24"/>
              </w:rPr>
              <w:t>采矿工程所</w:t>
            </w:r>
            <w:r>
              <w:rPr>
                <w:rFonts w:hint="eastAsia" w:ascii="楷体_GB2312" w:eastAsia="楷体_GB2312"/>
                <w:color w:val="auto"/>
                <w:sz w:val="24"/>
                <w:lang w:val="en-US" w:eastAsia="zh-CN"/>
              </w:rPr>
              <w:t>负责人</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5" w:hRule="exact"/>
        </w:trPr>
        <w:tc>
          <w:tcPr>
            <w:tcW w:w="961" w:type="dxa"/>
            <w:tcBorders>
              <w:top w:val="single" w:color="auto" w:sz="4" w:space="0"/>
              <w:left w:val="single" w:color="000000" w:sz="6" w:space="0"/>
              <w:bottom w:val="single" w:color="auto" w:sz="4" w:space="0"/>
              <w:right w:val="single" w:color="000000" w:sz="6" w:space="0"/>
            </w:tcBorders>
            <w:noWrap w:val="0"/>
            <w:vAlign w:val="center"/>
          </w:tcPr>
          <w:p>
            <w:pPr>
              <w:widowControl/>
              <w:jc w:val="center"/>
              <w:rPr>
                <w:rFonts w:hint="eastAsia" w:ascii="楷体_GB2312" w:hAnsi="Times New Roman" w:eastAsia="楷体_GB2312" w:cs="Times New Roman"/>
                <w:color w:val="auto"/>
                <w:sz w:val="24"/>
                <w:lang w:val="en-US" w:eastAsia="zh-CN"/>
              </w:rPr>
            </w:pPr>
            <w:r>
              <w:rPr>
                <w:rFonts w:hint="eastAsia" w:ascii="楷体_GB2312" w:eastAsia="楷体_GB2312"/>
                <w:color w:val="auto"/>
                <w:sz w:val="24"/>
                <w:lang w:val="en-US" w:eastAsia="zh-CN"/>
              </w:rPr>
              <w:t>矿 建</w:t>
            </w:r>
          </w:p>
        </w:tc>
        <w:tc>
          <w:tcPr>
            <w:tcW w:w="1837" w:type="dxa"/>
            <w:tcBorders>
              <w:top w:val="single" w:color="000000" w:sz="6" w:space="0"/>
              <w:left w:val="single" w:color="000000" w:sz="6" w:space="0"/>
              <w:bottom w:val="single" w:color="000000" w:sz="6" w:space="0"/>
              <w:right w:val="single" w:color="000000" w:sz="6" w:space="0"/>
            </w:tcBorders>
            <w:noWrap w:val="0"/>
            <w:vAlign w:val="center"/>
          </w:tcPr>
          <w:p>
            <w:pPr>
              <w:spacing w:line="400" w:lineRule="exact"/>
              <w:jc w:val="center"/>
              <w:rPr>
                <w:rFonts w:hint="eastAsia" w:ascii="楷体_GB2312" w:hAnsi="Times New Roman" w:eastAsia="楷体_GB2312" w:cs="Times New Roman"/>
                <w:color w:val="auto"/>
                <w:sz w:val="24"/>
                <w:lang w:val="en-US" w:eastAsia="zh-CN"/>
              </w:rPr>
            </w:pPr>
            <w:r>
              <w:rPr>
                <w:rFonts w:hint="eastAsia" w:ascii="楷体_GB2312" w:eastAsia="楷体_GB2312"/>
                <w:color w:val="auto"/>
                <w:sz w:val="24"/>
              </w:rPr>
              <w:t>杜  昱</w:t>
            </w:r>
          </w:p>
        </w:tc>
        <w:tc>
          <w:tcPr>
            <w:tcW w:w="1590" w:type="dxa"/>
            <w:tcBorders>
              <w:top w:val="single" w:color="000000" w:sz="6" w:space="0"/>
              <w:left w:val="single" w:color="000000" w:sz="6" w:space="0"/>
              <w:bottom w:val="single" w:color="000000" w:sz="6" w:space="0"/>
              <w:right w:val="single" w:color="000000" w:sz="6" w:space="0"/>
            </w:tcBorders>
            <w:noWrap w:val="0"/>
            <w:vAlign w:val="center"/>
          </w:tcPr>
          <w:p>
            <w:pPr>
              <w:spacing w:line="400" w:lineRule="exact"/>
              <w:jc w:val="center"/>
              <w:rPr>
                <w:rFonts w:hint="eastAsia" w:ascii="楷体_GB2312" w:hAnsi="Times New Roman" w:eastAsia="楷体_GB2312" w:cs="Times New Roman"/>
                <w:color w:val="auto"/>
                <w:sz w:val="24"/>
                <w:lang w:val="en-US" w:eastAsia="zh-CN"/>
              </w:rPr>
            </w:pP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400" w:lineRule="exact"/>
              <w:jc w:val="center"/>
              <w:rPr>
                <w:rFonts w:hint="eastAsia" w:ascii="楷体_GB2312" w:hAnsi="Times New Roman" w:eastAsia="楷体_GB2312" w:cs="Times New Roman"/>
                <w:color w:val="auto"/>
                <w:sz w:val="24"/>
                <w:lang w:val="en-US" w:eastAsia="zh-CN"/>
              </w:rPr>
            </w:pPr>
            <w:r>
              <w:rPr>
                <w:rFonts w:hint="eastAsia" w:ascii="楷体_GB2312" w:eastAsia="楷体_GB2312"/>
                <w:color w:val="auto"/>
                <w:sz w:val="24"/>
              </w:rPr>
              <w:t>高级工程师</w:t>
            </w:r>
          </w:p>
        </w:tc>
        <w:tc>
          <w:tcPr>
            <w:tcW w:w="302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5" w:hRule="exact"/>
        </w:trPr>
        <w:tc>
          <w:tcPr>
            <w:tcW w:w="961" w:type="dxa"/>
            <w:tcBorders>
              <w:top w:val="single" w:color="auto" w:sz="4" w:space="0"/>
              <w:left w:val="single" w:color="000000" w:sz="6" w:space="0"/>
              <w:bottom w:val="single" w:color="auto" w:sz="4"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hAnsi="Times New Roman" w:eastAsia="楷体_GB2312" w:cs="Times New Roman"/>
                <w:color w:val="auto"/>
                <w:sz w:val="24"/>
                <w:lang w:val="en-US" w:eastAsia="zh-CN"/>
              </w:rPr>
              <w:t>采 矿</w:t>
            </w:r>
          </w:p>
        </w:tc>
        <w:tc>
          <w:tcPr>
            <w:tcW w:w="1837"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刘自坚</w:t>
            </w:r>
          </w:p>
        </w:tc>
        <w:tc>
          <w:tcPr>
            <w:tcW w:w="15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rPr>
            </w:pPr>
            <w:r>
              <w:rPr>
                <w:rFonts w:hint="eastAsia" w:ascii="楷体_GB2312" w:hAnsi="Times New Roman" w:eastAsia="楷体_GB2312" w:cs="Times New Roman"/>
                <w:color w:val="auto"/>
                <w:sz w:val="24"/>
              </w:rPr>
              <w:t>工</w:t>
            </w:r>
            <w:r>
              <w:rPr>
                <w:rFonts w:hint="eastAsia" w:ascii="楷体_GB2312" w:eastAsia="楷体_GB2312" w:cs="Times New Roman"/>
                <w:color w:val="auto"/>
                <w:sz w:val="24"/>
                <w:lang w:val="en-US" w:eastAsia="zh-CN"/>
              </w:rPr>
              <w:t xml:space="preserve">  </w:t>
            </w:r>
            <w:r>
              <w:rPr>
                <w:rFonts w:hint="eastAsia" w:ascii="楷体_GB2312" w:hAnsi="Times New Roman" w:eastAsia="楷体_GB2312" w:cs="Times New Roman"/>
                <w:color w:val="auto"/>
                <w:sz w:val="24"/>
              </w:rPr>
              <w:t>程</w:t>
            </w:r>
            <w:r>
              <w:rPr>
                <w:rFonts w:hint="eastAsia" w:ascii="楷体_GB2312" w:eastAsia="楷体_GB2312" w:cs="Times New Roman"/>
                <w:color w:val="auto"/>
                <w:sz w:val="24"/>
                <w:lang w:val="en-US" w:eastAsia="zh-CN"/>
              </w:rPr>
              <w:t xml:space="preserve">  </w:t>
            </w:r>
            <w:r>
              <w:rPr>
                <w:rFonts w:hint="eastAsia" w:ascii="楷体_GB2312" w:hAnsi="Times New Roman" w:eastAsia="楷体_GB2312" w:cs="Times New Roman"/>
                <w:color w:val="auto"/>
                <w:sz w:val="24"/>
              </w:rPr>
              <w:t>师</w:t>
            </w:r>
          </w:p>
        </w:tc>
        <w:tc>
          <w:tcPr>
            <w:tcW w:w="302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采矿工程所副所长</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5" w:hRule="exact"/>
        </w:trPr>
        <w:tc>
          <w:tcPr>
            <w:tcW w:w="961" w:type="dxa"/>
            <w:tcBorders>
              <w:top w:val="single" w:color="auto" w:sz="4" w:space="0"/>
              <w:left w:val="single" w:color="000000" w:sz="6" w:space="0"/>
              <w:bottom w:val="single" w:color="auto" w:sz="4"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hAnsi="Times New Roman" w:eastAsia="楷体_GB2312" w:cs="Times New Roman"/>
                <w:color w:val="auto"/>
                <w:sz w:val="24"/>
                <w:lang w:val="en-US" w:eastAsia="zh-CN"/>
              </w:rPr>
              <w:t>经 济</w:t>
            </w:r>
          </w:p>
        </w:tc>
        <w:tc>
          <w:tcPr>
            <w:tcW w:w="1837"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hAnsi="Times New Roman" w:eastAsia="楷体_GB2312" w:cs="Times New Roman"/>
                <w:color w:val="auto"/>
                <w:sz w:val="24"/>
                <w:lang w:val="en-US" w:eastAsia="zh-CN"/>
              </w:rPr>
              <w:t>唐</w:t>
            </w:r>
            <w:r>
              <w:rPr>
                <w:rFonts w:hint="eastAsia" w:ascii="楷体_GB2312" w:eastAsia="楷体_GB2312" w:cs="Times New Roman"/>
                <w:color w:val="auto"/>
                <w:sz w:val="24"/>
                <w:lang w:val="en-US" w:eastAsia="zh-CN"/>
              </w:rPr>
              <w:t xml:space="preserve"> </w:t>
            </w:r>
            <w:r>
              <w:rPr>
                <w:rFonts w:hint="eastAsia" w:ascii="楷体_GB2312" w:hAnsi="Times New Roman" w:eastAsia="楷体_GB2312" w:cs="Times New Roman"/>
                <w:color w:val="auto"/>
                <w:sz w:val="24"/>
                <w:lang w:val="en-US" w:eastAsia="zh-CN"/>
              </w:rPr>
              <w:t xml:space="preserve"> 佳</w:t>
            </w:r>
          </w:p>
        </w:tc>
        <w:tc>
          <w:tcPr>
            <w:tcW w:w="159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c>
          <w:tcPr>
            <w:tcW w:w="1830"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rPr>
            </w:pPr>
            <w:r>
              <w:rPr>
                <w:rFonts w:hint="eastAsia" w:ascii="楷体_GB2312" w:hAnsi="Times New Roman" w:eastAsia="楷体_GB2312" w:cs="Times New Roman"/>
                <w:color w:val="auto"/>
                <w:sz w:val="24"/>
              </w:rPr>
              <w:t>工</w:t>
            </w:r>
            <w:r>
              <w:rPr>
                <w:rFonts w:hint="eastAsia" w:ascii="楷体_GB2312" w:eastAsia="楷体_GB2312" w:cs="Times New Roman"/>
                <w:color w:val="auto"/>
                <w:sz w:val="24"/>
                <w:lang w:val="en-US" w:eastAsia="zh-CN"/>
              </w:rPr>
              <w:t xml:space="preserve">  </w:t>
            </w:r>
            <w:r>
              <w:rPr>
                <w:rFonts w:hint="eastAsia" w:ascii="楷体_GB2312" w:hAnsi="Times New Roman" w:eastAsia="楷体_GB2312" w:cs="Times New Roman"/>
                <w:color w:val="auto"/>
                <w:sz w:val="24"/>
              </w:rPr>
              <w:t>程</w:t>
            </w:r>
            <w:r>
              <w:rPr>
                <w:rFonts w:hint="eastAsia" w:ascii="楷体_GB2312" w:eastAsia="楷体_GB2312" w:cs="Times New Roman"/>
                <w:color w:val="auto"/>
                <w:sz w:val="24"/>
                <w:lang w:val="en-US" w:eastAsia="zh-CN"/>
              </w:rPr>
              <w:t xml:space="preserve">  </w:t>
            </w:r>
            <w:r>
              <w:rPr>
                <w:rFonts w:hint="eastAsia" w:ascii="楷体_GB2312" w:hAnsi="Times New Roman" w:eastAsia="楷体_GB2312" w:cs="Times New Roman"/>
                <w:color w:val="auto"/>
                <w:sz w:val="24"/>
              </w:rPr>
              <w:t>师</w:t>
            </w:r>
          </w:p>
        </w:tc>
        <w:tc>
          <w:tcPr>
            <w:tcW w:w="3023" w:type="dxa"/>
            <w:tcBorders>
              <w:top w:val="single" w:color="000000" w:sz="6" w:space="0"/>
              <w:left w:val="single" w:color="000000" w:sz="6" w:space="0"/>
              <w:bottom w:val="single" w:color="000000" w:sz="6" w:space="0"/>
              <w:right w:val="single" w:color="000000" w:sz="6"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hAnsi="Times New Roman" w:eastAsia="楷体_GB2312" w:cs="Times New Roman"/>
                <w:color w:val="auto"/>
                <w:sz w:val="24"/>
                <w:lang w:val="en-US" w:eastAsia="zh-CN"/>
              </w:rPr>
              <w:t>技术经济室副主任</w:t>
            </w:r>
          </w:p>
        </w:tc>
      </w:tr>
    </w:tbl>
    <w:p>
      <w:pPr>
        <w:spacing w:before="120" w:beforeLines="50" w:line="560" w:lineRule="exact"/>
        <w:ind w:firstLine="3174" w:firstLineChars="1054"/>
        <w:rPr>
          <w:rFonts w:hint="eastAsia" w:ascii="黑体" w:eastAsia="黑体"/>
          <w:b/>
          <w:color w:val="auto"/>
          <w:sz w:val="30"/>
          <w:szCs w:val="30"/>
        </w:rPr>
      </w:pPr>
      <w:r>
        <w:rPr>
          <w:rFonts w:hint="eastAsia" w:ascii="黑体" w:eastAsia="黑体"/>
          <w:b/>
          <w:color w:val="auto"/>
          <w:sz w:val="30"/>
          <w:szCs w:val="30"/>
        </w:rPr>
        <w:t>编 制 人 员 名 单</w:t>
      </w:r>
    </w:p>
    <w:tbl>
      <w:tblPr>
        <w:tblStyle w:val="25"/>
        <w:tblW w:w="92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4"/>
        <w:gridCol w:w="1759"/>
        <w:gridCol w:w="1650"/>
        <w:gridCol w:w="1860"/>
        <w:gridCol w:w="29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exact"/>
        </w:trPr>
        <w:tc>
          <w:tcPr>
            <w:tcW w:w="994"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专  业</w:t>
            </w:r>
          </w:p>
        </w:tc>
        <w:tc>
          <w:tcPr>
            <w:tcW w:w="1759"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姓  名</w:t>
            </w:r>
          </w:p>
        </w:tc>
        <w:tc>
          <w:tcPr>
            <w:tcW w:w="165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eastAsia="楷体_GB2312"/>
                <w:color w:val="auto"/>
                <w:sz w:val="24"/>
                <w:lang w:val="en-US" w:eastAsia="zh-CN"/>
              </w:rPr>
            </w:pPr>
            <w:r>
              <w:rPr>
                <w:rFonts w:hint="eastAsia" w:ascii="楷体_GB2312" w:eastAsia="楷体_GB2312"/>
                <w:color w:val="auto"/>
                <w:sz w:val="24"/>
                <w:lang w:val="en-US" w:eastAsia="zh-CN"/>
              </w:rPr>
              <w:t>签  名</w:t>
            </w:r>
          </w:p>
        </w:tc>
        <w:tc>
          <w:tcPr>
            <w:tcW w:w="186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职  称</w:t>
            </w:r>
          </w:p>
        </w:tc>
        <w:tc>
          <w:tcPr>
            <w:tcW w:w="2973"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ascii="楷体_GB2312" w:eastAsia="楷体_GB2312"/>
                <w:color w:val="auto"/>
                <w:sz w:val="24"/>
              </w:rPr>
            </w:pPr>
            <w:r>
              <w:rPr>
                <w:rFonts w:hint="eastAsia" w:ascii="楷体_GB2312" w:eastAsia="楷体_GB2312"/>
                <w:color w:val="auto"/>
                <w:sz w:val="24"/>
              </w:rPr>
              <w:t>职  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exact"/>
        </w:trPr>
        <w:tc>
          <w:tcPr>
            <w:tcW w:w="994" w:type="dxa"/>
            <w:tcBorders>
              <w:left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地 质</w:t>
            </w:r>
          </w:p>
        </w:tc>
        <w:tc>
          <w:tcPr>
            <w:tcW w:w="1759"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default"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张效其</w:t>
            </w:r>
          </w:p>
        </w:tc>
        <w:tc>
          <w:tcPr>
            <w:tcW w:w="165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c>
          <w:tcPr>
            <w:tcW w:w="186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default" w:ascii="楷体_GB2312" w:hAnsi="Times New Roman" w:eastAsia="楷体_GB2312" w:cs="Times New Roman"/>
                <w:color w:val="auto"/>
                <w:sz w:val="24"/>
                <w:lang w:val="en-US" w:eastAsia="zh-CN"/>
              </w:rPr>
            </w:pPr>
            <w:r>
              <w:rPr>
                <w:rFonts w:hint="eastAsia" w:ascii="楷体_GB2312" w:hAnsi="Times New Roman" w:eastAsia="楷体_GB2312" w:cs="Times New Roman"/>
                <w:color w:val="auto"/>
                <w:sz w:val="24"/>
                <w:lang w:val="en-US" w:eastAsia="zh-CN"/>
              </w:rPr>
              <w:t>工  程  师</w:t>
            </w:r>
          </w:p>
        </w:tc>
        <w:tc>
          <w:tcPr>
            <w:tcW w:w="2973"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default"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规划勘察室副主任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exact"/>
        </w:trPr>
        <w:tc>
          <w:tcPr>
            <w:tcW w:w="994" w:type="dxa"/>
            <w:tcBorders>
              <w:left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安 全</w:t>
            </w:r>
          </w:p>
        </w:tc>
        <w:tc>
          <w:tcPr>
            <w:tcW w:w="1759"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default"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路凯智</w:t>
            </w:r>
          </w:p>
        </w:tc>
        <w:tc>
          <w:tcPr>
            <w:tcW w:w="165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c>
          <w:tcPr>
            <w:tcW w:w="186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hAnsi="Times New Roman" w:eastAsia="楷体_GB2312" w:cs="Times New Roman"/>
                <w:color w:val="auto"/>
                <w:sz w:val="24"/>
                <w:lang w:val="en-US" w:eastAsia="zh-CN"/>
              </w:rPr>
              <w:t>助理</w:t>
            </w:r>
            <w:r>
              <w:rPr>
                <w:rFonts w:hint="eastAsia" w:ascii="楷体_GB2312" w:hAnsi="Times New Roman" w:eastAsia="楷体_GB2312" w:cs="Times New Roman"/>
                <w:color w:val="auto"/>
                <w:sz w:val="24"/>
              </w:rPr>
              <w:t>工程师</w:t>
            </w:r>
          </w:p>
        </w:tc>
        <w:tc>
          <w:tcPr>
            <w:tcW w:w="2973"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exact"/>
        </w:trPr>
        <w:tc>
          <w:tcPr>
            <w:tcW w:w="994" w:type="dxa"/>
            <w:tcBorders>
              <w:left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eastAsia="楷体_GB2312" w:cs="Times New Roman"/>
                <w:color w:val="auto"/>
                <w:sz w:val="24"/>
                <w:lang w:val="en-US" w:eastAsia="zh-CN"/>
              </w:rPr>
              <w:t>安 全</w:t>
            </w:r>
          </w:p>
        </w:tc>
        <w:tc>
          <w:tcPr>
            <w:tcW w:w="1759"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default" w:ascii="楷体_GB2312" w:eastAsia="楷体_GB2312" w:cs="Times New Roman"/>
                <w:color w:val="auto"/>
                <w:sz w:val="24"/>
                <w:lang w:val="en-US" w:eastAsia="zh-CN"/>
              </w:rPr>
            </w:pPr>
            <w:r>
              <w:rPr>
                <w:rFonts w:hint="eastAsia" w:ascii="楷体_GB2312" w:eastAsia="楷体_GB2312" w:cs="Times New Roman"/>
                <w:color w:val="auto"/>
                <w:sz w:val="24"/>
                <w:lang w:val="en-US" w:eastAsia="zh-CN"/>
              </w:rPr>
              <w:t>焦文斌</w:t>
            </w:r>
          </w:p>
        </w:tc>
        <w:tc>
          <w:tcPr>
            <w:tcW w:w="165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c>
          <w:tcPr>
            <w:tcW w:w="1860"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r>
              <w:rPr>
                <w:rFonts w:hint="eastAsia" w:ascii="楷体_GB2312" w:hAnsi="Times New Roman" w:eastAsia="楷体_GB2312" w:cs="Times New Roman"/>
                <w:color w:val="auto"/>
                <w:sz w:val="24"/>
                <w:lang w:val="en-US" w:eastAsia="zh-CN"/>
              </w:rPr>
              <w:t>助理</w:t>
            </w:r>
            <w:r>
              <w:rPr>
                <w:rFonts w:hint="eastAsia" w:ascii="楷体_GB2312" w:hAnsi="Times New Roman" w:eastAsia="楷体_GB2312" w:cs="Times New Roman"/>
                <w:color w:val="auto"/>
                <w:sz w:val="24"/>
              </w:rPr>
              <w:t>工程师</w:t>
            </w:r>
          </w:p>
        </w:tc>
        <w:tc>
          <w:tcPr>
            <w:tcW w:w="2973"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exact"/>
        </w:trPr>
        <w:tc>
          <w:tcPr>
            <w:tcW w:w="994" w:type="dxa"/>
            <w:tcBorders>
              <w:left w:val="single" w:color="auto" w:sz="4" w:space="0"/>
              <w:right w:val="single" w:color="auto" w:sz="4"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hAnsi="Times New Roman" w:eastAsia="楷体_GB2312" w:cs="Times New Roman"/>
                <w:color w:val="auto"/>
                <w:sz w:val="24"/>
                <w:lang w:val="en-US" w:eastAsia="zh-CN"/>
              </w:rPr>
              <w:t>经 济</w:t>
            </w:r>
          </w:p>
        </w:tc>
        <w:tc>
          <w:tcPr>
            <w:tcW w:w="1759"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eastAsia="楷体_GB2312" w:cs="Times New Roman"/>
                <w:color w:val="auto"/>
                <w:sz w:val="24"/>
                <w:lang w:val="en-US" w:eastAsia="zh-CN"/>
              </w:rPr>
              <w:t>张成龙</w:t>
            </w:r>
          </w:p>
        </w:tc>
        <w:tc>
          <w:tcPr>
            <w:tcW w:w="165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p>
        </w:tc>
        <w:tc>
          <w:tcPr>
            <w:tcW w:w="186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spacing w:line="300" w:lineRule="exact"/>
              <w:jc w:val="center"/>
              <w:rPr>
                <w:rFonts w:hint="eastAsia" w:ascii="楷体_GB2312" w:hAnsi="Times New Roman" w:eastAsia="楷体_GB2312" w:cs="Times New Roman"/>
                <w:color w:val="auto"/>
                <w:kern w:val="2"/>
                <w:sz w:val="24"/>
                <w:szCs w:val="24"/>
                <w:lang w:val="en-US" w:eastAsia="zh-CN" w:bidi="ar-SA"/>
              </w:rPr>
            </w:pPr>
            <w:r>
              <w:rPr>
                <w:rFonts w:hint="eastAsia" w:ascii="楷体_GB2312" w:hAnsi="Times New Roman" w:eastAsia="楷体_GB2312" w:cs="Times New Roman"/>
                <w:color w:val="auto"/>
                <w:sz w:val="24"/>
                <w:lang w:val="en-US" w:eastAsia="zh-CN"/>
              </w:rPr>
              <w:t>助理</w:t>
            </w:r>
            <w:r>
              <w:rPr>
                <w:rFonts w:hint="eastAsia" w:ascii="楷体_GB2312" w:hAnsi="Times New Roman" w:eastAsia="楷体_GB2312" w:cs="Times New Roman"/>
                <w:color w:val="auto"/>
                <w:sz w:val="24"/>
              </w:rPr>
              <w:t>工程师</w:t>
            </w:r>
          </w:p>
        </w:tc>
        <w:tc>
          <w:tcPr>
            <w:tcW w:w="2973" w:type="dxa"/>
            <w:tcBorders>
              <w:top w:val="single" w:color="auto" w:sz="4" w:space="0"/>
              <w:left w:val="single" w:color="auto" w:sz="4" w:space="0"/>
              <w:bottom w:val="single" w:color="auto" w:sz="4" w:space="0"/>
              <w:right w:val="single" w:color="auto" w:sz="4" w:space="0"/>
            </w:tcBorders>
            <w:noWrap w:val="0"/>
            <w:vAlign w:val="center"/>
          </w:tcPr>
          <w:p>
            <w:pPr>
              <w:spacing w:line="300" w:lineRule="exact"/>
              <w:jc w:val="center"/>
              <w:rPr>
                <w:rFonts w:hint="eastAsia" w:ascii="楷体_GB2312" w:hAnsi="Times New Roman" w:eastAsia="楷体_GB2312" w:cs="Times New Roman"/>
                <w:color w:val="auto"/>
                <w:sz w:val="24"/>
                <w:lang w:val="en-US" w:eastAsia="zh-CN"/>
              </w:rPr>
            </w:pPr>
          </w:p>
        </w:tc>
      </w:tr>
    </w:tbl>
    <w:p>
      <w:pPr>
        <w:pStyle w:val="39"/>
        <w:numPr>
          <w:ilvl w:val="0"/>
          <w:numId w:val="0"/>
        </w:numPr>
        <w:spacing w:line="560" w:lineRule="exact"/>
        <w:ind w:firstLine="480" w:firstLineChars="200"/>
        <w:rPr>
          <w:rFonts w:hint="eastAsia" w:ascii="宋体" w:hAnsi="宋体" w:eastAsia="宋体" w:cs="宋体"/>
          <w:color w:val="auto"/>
          <w:sz w:val="24"/>
          <w:szCs w:val="24"/>
          <w:lang w:val="en-US" w:eastAsia="zh-CN"/>
        </w:rPr>
      </w:pPr>
    </w:p>
    <w:p>
      <w:pPr>
        <w:pStyle w:val="39"/>
        <w:numPr>
          <w:ilvl w:val="0"/>
          <w:numId w:val="0"/>
        </w:numPr>
        <w:spacing w:line="560" w:lineRule="exact"/>
        <w:ind w:firstLine="480" w:firstLineChars="200"/>
        <w:rPr>
          <w:rFonts w:hint="eastAsia" w:ascii="宋体" w:hAnsi="宋体" w:eastAsia="宋体" w:cs="宋体"/>
          <w:color w:val="auto"/>
          <w:sz w:val="24"/>
          <w:szCs w:val="24"/>
          <w:lang w:val="en-US" w:eastAsia="zh-CN"/>
        </w:rPr>
      </w:pPr>
    </w:p>
    <w:p>
      <w:pPr>
        <w:pStyle w:val="24"/>
        <w:rPr>
          <w:rFonts w:hint="eastAsia" w:ascii="宋体" w:hAnsi="宋体" w:eastAsia="宋体" w:cs="宋体"/>
          <w:color w:val="auto"/>
          <w:sz w:val="24"/>
          <w:szCs w:val="24"/>
          <w:lang w:val="en-US" w:eastAsia="zh-CN"/>
        </w:rPr>
      </w:pPr>
    </w:p>
    <w:p>
      <w:pPr>
        <w:rPr>
          <w:color w:val="auto"/>
        </w:rPr>
        <w:sectPr>
          <w:headerReference r:id="rId3" w:type="default"/>
          <w:footerReference r:id="rId4" w:type="default"/>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pStyle w:val="30"/>
        <w:rPr>
          <w:color w:val="auto"/>
        </w:rPr>
        <w:sectPr>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sdt>
      <w:sdtPr>
        <w:rPr>
          <w:rFonts w:hint="eastAsia" w:asciiTheme="minorEastAsia" w:hAnsiTheme="minorEastAsia" w:eastAsiaTheme="minorEastAsia" w:cstheme="minorEastAsia"/>
          <w:b/>
          <w:bCs/>
          <w:color w:val="auto"/>
          <w:sz w:val="28"/>
          <w:szCs w:val="28"/>
          <w:lang w:val="en-US" w:eastAsia="zh-CN"/>
        </w:rPr>
        <w:id w:val="147465340"/>
        <w15:color w:val="DBDBDB"/>
        <w:docPartObj>
          <w:docPartGallery w:val="Table of Contents"/>
          <w:docPartUnique/>
        </w:docPartObj>
      </w:sdtPr>
      <w:sdtEndPr>
        <w:rPr>
          <w:rFonts w:hint="eastAsia" w:asciiTheme="minorEastAsia" w:hAnsiTheme="minorEastAsia" w:eastAsiaTheme="minorEastAsia" w:cstheme="minorEastAsia"/>
          <w:b/>
          <w:bCs/>
          <w:color w:val="auto"/>
          <w:kern w:val="2"/>
          <w:sz w:val="24"/>
          <w:szCs w:val="24"/>
          <w:lang w:val="en-US" w:eastAsia="zh-CN" w:bidi="ar-SA"/>
        </w:rPr>
      </w:sdtEndPr>
      <w:sdtContent>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right="0" w:rightChars="0" w:firstLine="0" w:firstLineChars="0"/>
            <w:jc w:val="center"/>
            <w:textAlignment w:val="auto"/>
            <w:rPr>
              <w:rFonts w:hint="eastAsia" w:ascii="黑体" w:hAnsi="黑体" w:eastAsia="黑体" w:cs="黑体"/>
              <w:b/>
              <w:bCs/>
              <w:color w:val="auto"/>
              <w:sz w:val="28"/>
              <w:szCs w:val="28"/>
            </w:rPr>
          </w:pPr>
          <w:bookmarkStart w:id="9" w:name="_Toc3934"/>
          <w:bookmarkEnd w:id="9"/>
          <w:r>
            <w:rPr>
              <w:rFonts w:hint="eastAsia" w:ascii="黑体" w:hAnsi="黑体" w:eastAsia="黑体" w:cs="黑体"/>
              <w:b/>
              <w:bCs/>
              <w:color w:val="auto"/>
              <w:sz w:val="28"/>
              <w:szCs w:val="28"/>
            </w:rPr>
            <w:t>目</w:t>
          </w:r>
          <w:r>
            <w:rPr>
              <w:rFonts w:hint="eastAsia" w:ascii="黑体" w:hAnsi="黑体" w:eastAsia="黑体" w:cs="黑体"/>
              <w:b/>
              <w:bCs/>
              <w:color w:val="auto"/>
              <w:sz w:val="28"/>
              <w:szCs w:val="28"/>
              <w:lang w:val="en-US" w:eastAsia="zh-CN"/>
            </w:rPr>
            <w:t xml:space="preserve">  </w:t>
          </w:r>
          <w:r>
            <w:rPr>
              <w:rFonts w:hint="eastAsia" w:ascii="黑体" w:hAnsi="黑体" w:eastAsia="黑体" w:cs="黑体"/>
              <w:b/>
              <w:bCs/>
              <w:color w:val="auto"/>
              <w:sz w:val="28"/>
              <w:szCs w:val="28"/>
            </w:rPr>
            <w:t>录</w:t>
          </w:r>
        </w:p>
        <w:p>
          <w:pPr>
            <w:pStyle w:val="18"/>
            <w:tabs>
              <w:tab w:val="right" w:leader="dot" w:pos="9072"/>
              <w:tab w:val="clear" w:pos="9061"/>
            </w:tabs>
            <w:rPr>
              <w:color w:val="auto"/>
            </w:rPr>
          </w:pPr>
          <w:r>
            <w:rPr>
              <w:rFonts w:hint="eastAsia" w:ascii="黑体" w:hAnsi="黑体" w:eastAsia="黑体" w:cs="黑体"/>
              <w:color w:val="auto"/>
              <w:sz w:val="24"/>
              <w:szCs w:val="24"/>
              <w:lang w:val="en-US" w:eastAsia="zh-CN"/>
            </w:rPr>
            <w:fldChar w:fldCharType="begin"/>
          </w:r>
          <w:r>
            <w:rPr>
              <w:rFonts w:hint="eastAsia" w:ascii="黑体" w:hAnsi="黑体" w:eastAsia="黑体" w:cs="黑体"/>
              <w:color w:val="auto"/>
              <w:sz w:val="24"/>
              <w:szCs w:val="24"/>
              <w:lang w:val="en-US" w:eastAsia="zh-CN"/>
            </w:rPr>
            <w:instrText xml:space="preserve">TOC \o "1-2" \h \u </w:instrText>
          </w:r>
          <w:r>
            <w:rPr>
              <w:rFonts w:hint="eastAsia" w:ascii="黑体" w:hAnsi="黑体" w:eastAsia="黑体" w:cs="黑体"/>
              <w:color w:val="auto"/>
              <w:sz w:val="24"/>
              <w:szCs w:val="24"/>
              <w:lang w:val="en-US" w:eastAsia="zh-CN"/>
            </w:rPr>
            <w:fldChar w:fldCharType="separate"/>
          </w:r>
          <w:r>
            <w:rPr>
              <w:rFonts w:hint="eastAsia" w:ascii="黑体" w:hAnsi="黑体" w:eastAsia="黑体" w:cs="黑体"/>
              <w:color w:val="auto"/>
              <w:szCs w:val="24"/>
              <w:lang w:val="en-US" w:eastAsia="zh-CN"/>
            </w:rPr>
            <w:fldChar w:fldCharType="begin"/>
          </w:r>
          <w:r>
            <w:rPr>
              <w:rFonts w:hint="eastAsia" w:ascii="黑体" w:hAnsi="黑体" w:eastAsia="黑体" w:cs="黑体"/>
              <w:color w:val="auto"/>
              <w:szCs w:val="24"/>
              <w:lang w:val="en-US" w:eastAsia="zh-CN"/>
            </w:rPr>
            <w:instrText xml:space="preserve"> HYPERLINK \l _Toc13182 </w:instrText>
          </w:r>
          <w:r>
            <w:rPr>
              <w:rFonts w:hint="eastAsia" w:ascii="黑体" w:hAnsi="黑体" w:eastAsia="黑体" w:cs="黑体"/>
              <w:color w:val="auto"/>
              <w:szCs w:val="24"/>
              <w:lang w:val="en-US" w:eastAsia="zh-CN"/>
            </w:rPr>
            <w:fldChar w:fldCharType="separate"/>
          </w:r>
          <w:r>
            <w:rPr>
              <w:rFonts w:hint="eastAsia" w:ascii="黑体" w:eastAsia="黑体"/>
              <w:color w:val="auto"/>
              <w:szCs w:val="30"/>
            </w:rPr>
            <w:t>前  言</w:t>
          </w:r>
          <w:r>
            <w:rPr>
              <w:color w:val="auto"/>
            </w:rPr>
            <w:tab/>
          </w:r>
          <w:r>
            <w:rPr>
              <w:color w:val="auto"/>
            </w:rPr>
            <w:fldChar w:fldCharType="begin"/>
          </w:r>
          <w:r>
            <w:rPr>
              <w:color w:val="auto"/>
            </w:rPr>
            <w:instrText xml:space="preserve"> PAGEREF _Toc13182 \h </w:instrText>
          </w:r>
          <w:r>
            <w:rPr>
              <w:color w:val="auto"/>
            </w:rPr>
            <w:fldChar w:fldCharType="separate"/>
          </w:r>
          <w:r>
            <w:rPr>
              <w:color w:val="auto"/>
            </w:rPr>
            <w:t>1</w:t>
          </w:r>
          <w:r>
            <w:rPr>
              <w:color w:val="auto"/>
            </w:rPr>
            <w:fldChar w:fldCharType="end"/>
          </w:r>
          <w:r>
            <w:rPr>
              <w:rFonts w:hint="eastAsia" w:ascii="黑体" w:hAnsi="黑体" w:eastAsia="黑体" w:cs="黑体"/>
              <w:color w:val="auto"/>
              <w:szCs w:val="24"/>
              <w:lang w:val="en-US" w:eastAsia="zh-CN"/>
            </w:rPr>
            <w:fldChar w:fldCharType="end"/>
          </w:r>
        </w:p>
        <w:p>
          <w:pPr>
            <w:pStyle w:val="18"/>
            <w:tabs>
              <w:tab w:val="right" w:leader="dot" w:pos="9072"/>
              <w:tab w:val="clear" w:pos="9061"/>
            </w:tabs>
            <w:rPr>
              <w:color w:val="auto"/>
            </w:rPr>
          </w:pPr>
          <w:r>
            <w:rPr>
              <w:rFonts w:hint="eastAsia" w:ascii="黑体" w:hAnsi="黑体" w:eastAsia="黑体" w:cs="黑体"/>
              <w:color w:val="auto"/>
              <w:szCs w:val="24"/>
              <w:lang w:val="en-US" w:eastAsia="zh-CN"/>
            </w:rPr>
            <w:fldChar w:fldCharType="begin"/>
          </w:r>
          <w:r>
            <w:rPr>
              <w:rFonts w:hint="eastAsia" w:ascii="黑体" w:hAnsi="黑体" w:eastAsia="黑体" w:cs="黑体"/>
              <w:color w:val="auto"/>
              <w:szCs w:val="24"/>
              <w:lang w:val="en-US" w:eastAsia="zh-CN"/>
            </w:rPr>
            <w:instrText xml:space="preserve"> HYPERLINK \l _Toc24977 </w:instrText>
          </w:r>
          <w:r>
            <w:rPr>
              <w:rFonts w:hint="eastAsia" w:ascii="黑体" w:hAnsi="黑体" w:eastAsia="黑体" w:cs="黑体"/>
              <w:color w:val="auto"/>
              <w:szCs w:val="24"/>
              <w:lang w:val="en-US" w:eastAsia="zh-CN"/>
            </w:rPr>
            <w:fldChar w:fldCharType="separate"/>
          </w:r>
          <w:r>
            <w:rPr>
              <w:rFonts w:hint="eastAsia" w:ascii="黑体" w:eastAsia="黑体"/>
              <w:color w:val="auto"/>
              <w:szCs w:val="30"/>
            </w:rPr>
            <w:t xml:space="preserve">第一章  </w:t>
          </w:r>
          <w:r>
            <w:rPr>
              <w:rFonts w:hint="eastAsia" w:ascii="黑体" w:eastAsia="黑体"/>
              <w:color w:val="auto"/>
              <w:szCs w:val="30"/>
              <w:lang w:val="en-US" w:eastAsia="zh-CN"/>
            </w:rPr>
            <w:t>井田</w:t>
          </w:r>
          <w:r>
            <w:rPr>
              <w:rFonts w:hint="eastAsia" w:ascii="黑体" w:eastAsia="黑体"/>
              <w:color w:val="auto"/>
              <w:szCs w:val="30"/>
            </w:rPr>
            <w:t>概况及地质特征</w:t>
          </w:r>
          <w:r>
            <w:rPr>
              <w:color w:val="auto"/>
            </w:rPr>
            <w:tab/>
          </w:r>
          <w:r>
            <w:rPr>
              <w:color w:val="auto"/>
            </w:rPr>
            <w:fldChar w:fldCharType="begin"/>
          </w:r>
          <w:r>
            <w:rPr>
              <w:color w:val="auto"/>
            </w:rPr>
            <w:instrText xml:space="preserve"> PAGEREF _Toc24977 \h </w:instrText>
          </w:r>
          <w:r>
            <w:rPr>
              <w:color w:val="auto"/>
            </w:rPr>
            <w:fldChar w:fldCharType="separate"/>
          </w:r>
          <w:r>
            <w:rPr>
              <w:color w:val="auto"/>
            </w:rPr>
            <w:t>4</w:t>
          </w:r>
          <w:r>
            <w:rPr>
              <w:color w:val="auto"/>
            </w:rPr>
            <w:fldChar w:fldCharType="end"/>
          </w:r>
          <w:r>
            <w:rPr>
              <w:rFonts w:hint="eastAsia" w:ascii="黑体" w:hAnsi="黑体" w:eastAsia="黑体" w:cs="黑体"/>
              <w:color w:val="auto"/>
              <w:szCs w:val="24"/>
              <w:lang w:val="en-US" w:eastAsia="zh-CN"/>
            </w:rPr>
            <w:fldChar w:fldCharType="end"/>
          </w:r>
        </w:p>
        <w:p>
          <w:pPr>
            <w:pStyle w:val="21"/>
            <w:tabs>
              <w:tab w:val="right" w:leader="dot" w:pos="9072"/>
            </w:tabs>
            <w:rPr>
              <w:rFonts w:hint="eastAsia" w:ascii="宋体" w:hAnsi="宋体" w:eastAsia="宋体" w:cs="宋体"/>
              <w:b w:val="0"/>
              <w:bCs w:val="0"/>
              <w:color w:val="auto"/>
            </w:rPr>
          </w:pPr>
          <w:r>
            <w:rPr>
              <w:rFonts w:hint="eastAsia" w:ascii="宋体" w:hAnsi="宋体" w:eastAsia="宋体" w:cs="宋体"/>
              <w:b w:val="0"/>
              <w:bCs w:val="0"/>
              <w:color w:val="auto"/>
              <w:szCs w:val="24"/>
              <w:lang w:val="en-US" w:eastAsia="zh-CN"/>
            </w:rPr>
            <w:fldChar w:fldCharType="begin"/>
          </w:r>
          <w:r>
            <w:rPr>
              <w:rFonts w:hint="eastAsia" w:ascii="宋体" w:hAnsi="宋体" w:eastAsia="宋体" w:cs="宋体"/>
              <w:b w:val="0"/>
              <w:bCs w:val="0"/>
              <w:color w:val="auto"/>
              <w:szCs w:val="24"/>
              <w:lang w:val="en-US" w:eastAsia="zh-CN"/>
            </w:rPr>
            <w:instrText xml:space="preserve"> HYPERLINK \l _Toc15106 </w:instrText>
          </w:r>
          <w:r>
            <w:rPr>
              <w:rFonts w:hint="eastAsia" w:ascii="宋体" w:hAnsi="宋体" w:eastAsia="宋体" w:cs="宋体"/>
              <w:b w:val="0"/>
              <w:bCs w:val="0"/>
              <w:color w:val="auto"/>
              <w:szCs w:val="24"/>
              <w:lang w:val="en-US" w:eastAsia="zh-CN"/>
            </w:rPr>
            <w:fldChar w:fldCharType="separate"/>
          </w:r>
          <w:r>
            <w:rPr>
              <w:rFonts w:hint="eastAsia" w:ascii="宋体" w:hAnsi="宋体" w:eastAsia="宋体" w:cs="宋体"/>
              <w:b w:val="0"/>
              <w:bCs w:val="0"/>
              <w:color w:val="auto"/>
              <w:szCs w:val="28"/>
              <w:lang w:val="en-US" w:eastAsia="zh-CN"/>
            </w:rPr>
            <w:t>第一节  井田生产现状</w:t>
          </w:r>
          <w:r>
            <w:rPr>
              <w:rFonts w:hint="eastAsia" w:ascii="宋体" w:hAnsi="宋体" w:eastAsia="宋体" w:cs="宋体"/>
              <w:b w:val="0"/>
              <w:bCs w:val="0"/>
              <w:color w:val="auto"/>
            </w:rPr>
            <w:tab/>
          </w:r>
          <w:r>
            <w:rPr>
              <w:rFonts w:hint="eastAsia" w:ascii="宋体" w:hAnsi="宋体" w:eastAsia="宋体" w:cs="宋体"/>
              <w:b w:val="0"/>
              <w:bCs w:val="0"/>
              <w:color w:val="auto"/>
            </w:rPr>
            <w:fldChar w:fldCharType="begin"/>
          </w:r>
          <w:r>
            <w:rPr>
              <w:rFonts w:hint="eastAsia" w:ascii="宋体" w:hAnsi="宋体" w:eastAsia="宋体" w:cs="宋体"/>
              <w:b w:val="0"/>
              <w:bCs w:val="0"/>
              <w:color w:val="auto"/>
            </w:rPr>
            <w:instrText xml:space="preserve"> PAGEREF _Toc15106 \h </w:instrText>
          </w:r>
          <w:r>
            <w:rPr>
              <w:rFonts w:hint="eastAsia" w:ascii="宋体" w:hAnsi="宋体" w:eastAsia="宋体" w:cs="宋体"/>
              <w:b w:val="0"/>
              <w:bCs w:val="0"/>
              <w:color w:val="auto"/>
            </w:rPr>
            <w:fldChar w:fldCharType="separate"/>
          </w:r>
          <w:r>
            <w:rPr>
              <w:rFonts w:hint="eastAsia" w:ascii="宋体" w:hAnsi="宋体" w:eastAsia="宋体" w:cs="宋体"/>
              <w:b w:val="0"/>
              <w:bCs w:val="0"/>
              <w:color w:val="auto"/>
            </w:rPr>
            <w:t>4</w:t>
          </w:r>
          <w:r>
            <w:rPr>
              <w:rFonts w:hint="eastAsia" w:ascii="宋体" w:hAnsi="宋体" w:eastAsia="宋体" w:cs="宋体"/>
              <w:b w:val="0"/>
              <w:bCs w:val="0"/>
              <w:color w:val="auto"/>
            </w:rPr>
            <w:fldChar w:fldCharType="end"/>
          </w:r>
          <w:r>
            <w:rPr>
              <w:rFonts w:hint="eastAsia" w:ascii="宋体" w:hAnsi="宋体" w:eastAsia="宋体" w:cs="宋体"/>
              <w:b w:val="0"/>
              <w:bCs w:val="0"/>
              <w:color w:val="auto"/>
              <w:szCs w:val="24"/>
              <w:lang w:val="en-US" w:eastAsia="zh-CN"/>
            </w:rPr>
            <w:fldChar w:fldCharType="end"/>
          </w:r>
        </w:p>
        <w:p>
          <w:pPr>
            <w:pStyle w:val="21"/>
            <w:tabs>
              <w:tab w:val="right" w:leader="dot" w:pos="9072"/>
            </w:tabs>
            <w:rPr>
              <w:rFonts w:hint="eastAsia" w:ascii="宋体" w:hAnsi="宋体" w:eastAsia="宋体" w:cs="宋体"/>
              <w:b w:val="0"/>
              <w:bCs w:val="0"/>
              <w:color w:val="auto"/>
            </w:rPr>
          </w:pPr>
          <w:r>
            <w:rPr>
              <w:rFonts w:hint="eastAsia" w:ascii="宋体" w:hAnsi="宋体" w:eastAsia="宋体" w:cs="宋体"/>
              <w:b w:val="0"/>
              <w:bCs w:val="0"/>
              <w:color w:val="auto"/>
              <w:szCs w:val="24"/>
              <w:lang w:val="en-US" w:eastAsia="zh-CN"/>
            </w:rPr>
            <w:fldChar w:fldCharType="begin"/>
          </w:r>
          <w:r>
            <w:rPr>
              <w:rFonts w:hint="eastAsia" w:ascii="宋体" w:hAnsi="宋体" w:eastAsia="宋体" w:cs="宋体"/>
              <w:b w:val="0"/>
              <w:bCs w:val="0"/>
              <w:color w:val="auto"/>
              <w:szCs w:val="24"/>
              <w:lang w:val="en-US" w:eastAsia="zh-CN"/>
            </w:rPr>
            <w:instrText xml:space="preserve"> HYPERLINK \l _Toc23203 </w:instrText>
          </w:r>
          <w:r>
            <w:rPr>
              <w:rFonts w:hint="eastAsia" w:ascii="宋体" w:hAnsi="宋体" w:eastAsia="宋体" w:cs="宋体"/>
              <w:b w:val="0"/>
              <w:bCs w:val="0"/>
              <w:color w:val="auto"/>
              <w:szCs w:val="24"/>
              <w:lang w:val="en-US" w:eastAsia="zh-CN"/>
            </w:rPr>
            <w:fldChar w:fldCharType="separate"/>
          </w:r>
          <w:r>
            <w:rPr>
              <w:rFonts w:hint="eastAsia" w:ascii="宋体" w:hAnsi="宋体" w:eastAsia="宋体" w:cs="宋体"/>
              <w:b w:val="0"/>
              <w:bCs w:val="0"/>
              <w:color w:val="auto"/>
              <w:szCs w:val="28"/>
              <w:lang w:val="en-US" w:eastAsia="zh-CN"/>
            </w:rPr>
            <w:t>第二节  地质条件</w:t>
          </w:r>
          <w:r>
            <w:rPr>
              <w:rFonts w:hint="eastAsia" w:ascii="宋体" w:hAnsi="宋体" w:eastAsia="宋体" w:cs="宋体"/>
              <w:b w:val="0"/>
              <w:bCs w:val="0"/>
              <w:color w:val="auto"/>
            </w:rPr>
            <w:tab/>
          </w:r>
          <w:r>
            <w:rPr>
              <w:rFonts w:hint="eastAsia" w:ascii="宋体" w:hAnsi="宋体" w:eastAsia="宋体" w:cs="宋体"/>
              <w:b w:val="0"/>
              <w:bCs w:val="0"/>
              <w:color w:val="auto"/>
            </w:rPr>
            <w:fldChar w:fldCharType="begin"/>
          </w:r>
          <w:r>
            <w:rPr>
              <w:rFonts w:hint="eastAsia" w:ascii="宋体" w:hAnsi="宋体" w:eastAsia="宋体" w:cs="宋体"/>
              <w:b w:val="0"/>
              <w:bCs w:val="0"/>
              <w:color w:val="auto"/>
            </w:rPr>
            <w:instrText xml:space="preserve"> PAGEREF _Toc23203 \h </w:instrText>
          </w:r>
          <w:r>
            <w:rPr>
              <w:rFonts w:hint="eastAsia" w:ascii="宋体" w:hAnsi="宋体" w:eastAsia="宋体" w:cs="宋体"/>
              <w:b w:val="0"/>
              <w:bCs w:val="0"/>
              <w:color w:val="auto"/>
            </w:rPr>
            <w:fldChar w:fldCharType="separate"/>
          </w:r>
          <w:r>
            <w:rPr>
              <w:rFonts w:hint="eastAsia" w:ascii="宋体" w:hAnsi="宋体" w:eastAsia="宋体" w:cs="宋体"/>
              <w:b w:val="0"/>
              <w:bCs w:val="0"/>
              <w:color w:val="auto"/>
            </w:rPr>
            <w:t>4</w:t>
          </w:r>
          <w:r>
            <w:rPr>
              <w:rFonts w:hint="eastAsia" w:ascii="宋体" w:hAnsi="宋体" w:eastAsia="宋体" w:cs="宋体"/>
              <w:b w:val="0"/>
              <w:bCs w:val="0"/>
              <w:color w:val="auto"/>
            </w:rPr>
            <w:fldChar w:fldCharType="end"/>
          </w:r>
          <w:r>
            <w:rPr>
              <w:rFonts w:hint="eastAsia" w:ascii="宋体" w:hAnsi="宋体" w:eastAsia="宋体" w:cs="宋体"/>
              <w:b w:val="0"/>
              <w:bCs w:val="0"/>
              <w:color w:val="auto"/>
              <w:szCs w:val="24"/>
              <w:lang w:val="en-US" w:eastAsia="zh-CN"/>
            </w:rPr>
            <w:fldChar w:fldCharType="end"/>
          </w:r>
        </w:p>
        <w:p>
          <w:pPr>
            <w:pStyle w:val="18"/>
            <w:tabs>
              <w:tab w:val="right" w:leader="dot" w:pos="9072"/>
              <w:tab w:val="clear" w:pos="9061"/>
            </w:tabs>
            <w:rPr>
              <w:color w:val="auto"/>
            </w:rPr>
          </w:pPr>
          <w:r>
            <w:rPr>
              <w:rFonts w:hint="eastAsia" w:ascii="黑体" w:hAnsi="黑体" w:eastAsia="黑体" w:cs="黑体"/>
              <w:color w:val="auto"/>
              <w:szCs w:val="24"/>
              <w:lang w:val="en-US" w:eastAsia="zh-CN"/>
            </w:rPr>
            <w:fldChar w:fldCharType="begin"/>
          </w:r>
          <w:r>
            <w:rPr>
              <w:rFonts w:hint="eastAsia" w:ascii="黑体" w:hAnsi="黑体" w:eastAsia="黑体" w:cs="黑体"/>
              <w:color w:val="auto"/>
              <w:szCs w:val="24"/>
              <w:lang w:val="en-US" w:eastAsia="zh-CN"/>
            </w:rPr>
            <w:instrText xml:space="preserve"> HYPERLINK \l _Toc13074 </w:instrText>
          </w:r>
          <w:r>
            <w:rPr>
              <w:rFonts w:hint="eastAsia" w:ascii="黑体" w:hAnsi="黑体" w:eastAsia="黑体" w:cs="黑体"/>
              <w:color w:val="auto"/>
              <w:szCs w:val="24"/>
              <w:lang w:val="en-US" w:eastAsia="zh-CN"/>
            </w:rPr>
            <w:fldChar w:fldCharType="separate"/>
          </w:r>
          <w:r>
            <w:rPr>
              <w:rFonts w:hint="eastAsia" w:ascii="黑体" w:eastAsia="黑体"/>
              <w:color w:val="auto"/>
              <w:szCs w:val="30"/>
            </w:rPr>
            <w:t>第</w:t>
          </w:r>
          <w:r>
            <w:rPr>
              <w:rFonts w:hint="eastAsia" w:ascii="黑体" w:eastAsia="黑体"/>
              <w:color w:val="auto"/>
              <w:szCs w:val="30"/>
              <w:lang w:val="en-US" w:eastAsia="zh-CN"/>
            </w:rPr>
            <w:t>二</w:t>
          </w:r>
          <w:r>
            <w:rPr>
              <w:rFonts w:hint="eastAsia" w:ascii="黑体" w:eastAsia="黑体"/>
              <w:color w:val="auto"/>
              <w:szCs w:val="30"/>
            </w:rPr>
            <w:t xml:space="preserve">章  </w:t>
          </w:r>
          <w:r>
            <w:rPr>
              <w:rFonts w:hint="eastAsia" w:ascii="黑体" w:eastAsia="黑体"/>
              <w:color w:val="auto"/>
              <w:szCs w:val="30"/>
              <w:lang w:val="en-US" w:eastAsia="zh-CN"/>
            </w:rPr>
            <w:t>地面压裂井设计</w:t>
          </w:r>
          <w:r>
            <w:rPr>
              <w:color w:val="auto"/>
            </w:rPr>
            <w:tab/>
          </w:r>
          <w:r>
            <w:rPr>
              <w:color w:val="auto"/>
            </w:rPr>
            <w:fldChar w:fldCharType="begin"/>
          </w:r>
          <w:r>
            <w:rPr>
              <w:color w:val="auto"/>
            </w:rPr>
            <w:instrText xml:space="preserve"> PAGEREF _Toc13074 \h </w:instrText>
          </w:r>
          <w:r>
            <w:rPr>
              <w:color w:val="auto"/>
            </w:rPr>
            <w:fldChar w:fldCharType="separate"/>
          </w:r>
          <w:r>
            <w:rPr>
              <w:color w:val="auto"/>
            </w:rPr>
            <w:t>12</w:t>
          </w:r>
          <w:r>
            <w:rPr>
              <w:color w:val="auto"/>
            </w:rPr>
            <w:fldChar w:fldCharType="end"/>
          </w:r>
          <w:r>
            <w:rPr>
              <w:rFonts w:hint="eastAsia" w:ascii="黑体" w:hAnsi="黑体" w:eastAsia="黑体" w:cs="黑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_Toc4674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第一节  压裂层位选择</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_Toc4674 \h </w:instrText>
          </w:r>
          <w:r>
            <w:rPr>
              <w:rFonts w:hint="eastAsia" w:ascii="宋体" w:hAnsi="宋体" w:eastAsia="宋体" w:cs="宋体"/>
              <w:color w:val="auto"/>
            </w:rPr>
            <w:fldChar w:fldCharType="separate"/>
          </w:r>
          <w:r>
            <w:rPr>
              <w:rFonts w:hint="eastAsia" w:ascii="宋体" w:hAnsi="宋体" w:eastAsia="宋体" w:cs="宋体"/>
              <w:color w:val="auto"/>
            </w:rPr>
            <w:t>12</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_Toc20459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第二节  压裂井轨迹及空间位置确定</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_Toc20459 \h </w:instrText>
          </w:r>
          <w:r>
            <w:rPr>
              <w:rFonts w:hint="eastAsia" w:ascii="宋体" w:hAnsi="宋体" w:eastAsia="宋体" w:cs="宋体"/>
              <w:color w:val="auto"/>
            </w:rPr>
            <w:fldChar w:fldCharType="separate"/>
          </w:r>
          <w:r>
            <w:rPr>
              <w:rFonts w:hint="eastAsia" w:ascii="宋体" w:hAnsi="宋体" w:eastAsia="宋体" w:cs="宋体"/>
              <w:color w:val="auto"/>
            </w:rPr>
            <w:t>42</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_Toc1848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第三节  压裂段数</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_Toc1848 \h </w:instrText>
          </w:r>
          <w:r>
            <w:rPr>
              <w:rFonts w:hint="eastAsia" w:ascii="宋体" w:hAnsi="宋体" w:eastAsia="宋体" w:cs="宋体"/>
              <w:color w:val="auto"/>
            </w:rPr>
            <w:fldChar w:fldCharType="separate"/>
          </w:r>
          <w:r>
            <w:rPr>
              <w:rFonts w:hint="eastAsia" w:ascii="宋体" w:hAnsi="宋体" w:eastAsia="宋体" w:cs="宋体"/>
              <w:color w:val="auto"/>
            </w:rPr>
            <w:t>49</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_Toc19109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第四节  压裂施工</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_Toc19109 \h </w:instrText>
          </w:r>
          <w:r>
            <w:rPr>
              <w:rFonts w:hint="eastAsia" w:ascii="宋体" w:hAnsi="宋体" w:eastAsia="宋体" w:cs="宋体"/>
              <w:color w:val="auto"/>
            </w:rPr>
            <w:fldChar w:fldCharType="separate"/>
          </w:r>
          <w:r>
            <w:rPr>
              <w:rFonts w:hint="eastAsia" w:ascii="宋体" w:hAnsi="宋体" w:eastAsia="宋体" w:cs="宋体"/>
              <w:color w:val="auto"/>
            </w:rPr>
            <w:t>55</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_Toc21967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第五节  压裂参数</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_Toc21967 \h </w:instrText>
          </w:r>
          <w:r>
            <w:rPr>
              <w:rFonts w:hint="eastAsia" w:ascii="宋体" w:hAnsi="宋体" w:eastAsia="宋体" w:cs="宋体"/>
              <w:color w:val="auto"/>
            </w:rPr>
            <w:fldChar w:fldCharType="separate"/>
          </w:r>
          <w:r>
            <w:rPr>
              <w:rFonts w:hint="eastAsia" w:ascii="宋体" w:hAnsi="宋体" w:eastAsia="宋体" w:cs="宋体"/>
              <w:color w:val="auto"/>
            </w:rPr>
            <w:t>59</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_Toc16307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第六节  工艺安排</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_Toc16307 \h </w:instrText>
          </w:r>
          <w:r>
            <w:rPr>
              <w:rFonts w:hint="eastAsia" w:ascii="宋体" w:hAnsi="宋体" w:eastAsia="宋体" w:cs="宋体"/>
              <w:color w:val="auto"/>
            </w:rPr>
            <w:fldChar w:fldCharType="separate"/>
          </w:r>
          <w:r>
            <w:rPr>
              <w:rFonts w:hint="eastAsia" w:ascii="宋体" w:hAnsi="宋体" w:eastAsia="宋体" w:cs="宋体"/>
              <w:color w:val="auto"/>
            </w:rPr>
            <w:t>64</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_Toc31951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第七节  压裂效果检验</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_Toc31951 \h </w:instrText>
          </w:r>
          <w:r>
            <w:rPr>
              <w:rFonts w:hint="eastAsia" w:ascii="宋体" w:hAnsi="宋体" w:eastAsia="宋体" w:cs="宋体"/>
              <w:color w:val="auto"/>
            </w:rPr>
            <w:fldChar w:fldCharType="separate"/>
          </w:r>
          <w:r>
            <w:rPr>
              <w:rFonts w:hint="eastAsia" w:ascii="宋体" w:hAnsi="宋体" w:eastAsia="宋体" w:cs="宋体"/>
              <w:color w:val="auto"/>
            </w:rPr>
            <w:t>71</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_Toc15953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第八节  压裂工具组合</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_Toc15953 \h </w:instrText>
          </w:r>
          <w:r>
            <w:rPr>
              <w:rFonts w:hint="eastAsia" w:ascii="宋体" w:hAnsi="宋体" w:eastAsia="宋体" w:cs="宋体"/>
              <w:color w:val="auto"/>
            </w:rPr>
            <w:fldChar w:fldCharType="separate"/>
          </w:r>
          <w:r>
            <w:rPr>
              <w:rFonts w:hint="eastAsia" w:ascii="宋体" w:hAnsi="宋体" w:eastAsia="宋体" w:cs="宋体"/>
              <w:color w:val="auto"/>
            </w:rPr>
            <w:t>78</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_Toc5048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第九节  地面压裂井完井施工设计</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_Toc5048 \h </w:instrText>
          </w:r>
          <w:r>
            <w:rPr>
              <w:rFonts w:hint="eastAsia" w:ascii="宋体" w:hAnsi="宋体" w:eastAsia="宋体" w:cs="宋体"/>
              <w:color w:val="auto"/>
            </w:rPr>
            <w:fldChar w:fldCharType="separate"/>
          </w:r>
          <w:r>
            <w:rPr>
              <w:rFonts w:hint="eastAsia" w:ascii="宋体" w:hAnsi="宋体" w:eastAsia="宋体" w:cs="宋体"/>
              <w:color w:val="auto"/>
            </w:rPr>
            <w:t>79</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_Toc30828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第十节  施工验收</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_Toc30828 \h </w:instrText>
          </w:r>
          <w:r>
            <w:rPr>
              <w:rFonts w:hint="eastAsia" w:ascii="宋体" w:hAnsi="宋体" w:eastAsia="宋体" w:cs="宋体"/>
              <w:color w:val="auto"/>
            </w:rPr>
            <w:fldChar w:fldCharType="separate"/>
          </w:r>
          <w:r>
            <w:rPr>
              <w:rFonts w:hint="eastAsia" w:ascii="宋体" w:hAnsi="宋体" w:eastAsia="宋体" w:cs="宋体"/>
              <w:color w:val="auto"/>
            </w:rPr>
            <w:t>79</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21"/>
            <w:tabs>
              <w:tab w:val="right" w:leader="dot" w:pos="9072"/>
            </w:tabs>
            <w:rPr>
              <w:rFonts w:hint="eastAsia" w:ascii="宋体" w:hAnsi="宋体" w:eastAsia="宋体" w:cs="宋体"/>
              <w:color w:val="auto"/>
            </w:rPr>
          </w:pPr>
          <w:r>
            <w:rPr>
              <w:rFonts w:hint="eastAsia" w:ascii="宋体" w:hAnsi="宋体" w:eastAsia="宋体" w:cs="宋体"/>
              <w:color w:val="auto"/>
              <w:szCs w:val="24"/>
              <w:lang w:val="en-US" w:eastAsia="zh-CN"/>
            </w:rPr>
            <w:fldChar w:fldCharType="begin"/>
          </w:r>
          <w:r>
            <w:rPr>
              <w:rFonts w:hint="eastAsia" w:ascii="宋体" w:hAnsi="宋体" w:eastAsia="宋体" w:cs="宋体"/>
              <w:color w:val="auto"/>
              <w:szCs w:val="24"/>
              <w:lang w:val="en-US" w:eastAsia="zh-CN"/>
            </w:rPr>
            <w:instrText xml:space="preserve"> HYPERLINK \l _Toc17286 </w:instrText>
          </w:r>
          <w:r>
            <w:rPr>
              <w:rFonts w:hint="eastAsia" w:ascii="宋体" w:hAnsi="宋体" w:eastAsia="宋体" w:cs="宋体"/>
              <w:color w:val="auto"/>
              <w:szCs w:val="24"/>
              <w:lang w:val="en-US" w:eastAsia="zh-CN"/>
            </w:rPr>
            <w:fldChar w:fldCharType="separate"/>
          </w:r>
          <w:r>
            <w:rPr>
              <w:rFonts w:hint="eastAsia" w:ascii="宋体" w:hAnsi="宋体" w:eastAsia="宋体" w:cs="宋体"/>
              <w:bCs/>
              <w:color w:val="auto"/>
              <w:szCs w:val="28"/>
              <w:lang w:val="en-US" w:eastAsia="zh-CN"/>
            </w:rPr>
            <w:t>第十一节  压裂对巷道支护影响评估</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_Toc17286 \h </w:instrText>
          </w:r>
          <w:r>
            <w:rPr>
              <w:rFonts w:hint="eastAsia" w:ascii="宋体" w:hAnsi="宋体" w:eastAsia="宋体" w:cs="宋体"/>
              <w:color w:val="auto"/>
            </w:rPr>
            <w:fldChar w:fldCharType="separate"/>
          </w:r>
          <w:r>
            <w:rPr>
              <w:rFonts w:hint="eastAsia" w:ascii="宋体" w:hAnsi="宋体" w:eastAsia="宋体" w:cs="宋体"/>
              <w:color w:val="auto"/>
            </w:rPr>
            <w:t>79</w:t>
          </w:r>
          <w:r>
            <w:rPr>
              <w:rFonts w:hint="eastAsia" w:ascii="宋体" w:hAnsi="宋体" w:eastAsia="宋体" w:cs="宋体"/>
              <w:color w:val="auto"/>
            </w:rPr>
            <w:fldChar w:fldCharType="end"/>
          </w:r>
          <w:r>
            <w:rPr>
              <w:rFonts w:hint="eastAsia" w:ascii="宋体" w:hAnsi="宋体" w:eastAsia="宋体" w:cs="宋体"/>
              <w:color w:val="auto"/>
              <w:szCs w:val="24"/>
              <w:lang w:val="en-US" w:eastAsia="zh-CN"/>
            </w:rPr>
            <w:fldChar w:fldCharType="end"/>
          </w:r>
        </w:p>
        <w:p>
          <w:pPr>
            <w:pStyle w:val="18"/>
            <w:tabs>
              <w:tab w:val="right" w:leader="dot" w:pos="9072"/>
              <w:tab w:val="clear" w:pos="9061"/>
            </w:tabs>
            <w:rPr>
              <w:color w:val="auto"/>
            </w:rPr>
          </w:pPr>
          <w:r>
            <w:rPr>
              <w:rFonts w:hint="eastAsia" w:ascii="黑体" w:hAnsi="黑体" w:eastAsia="黑体" w:cs="黑体"/>
              <w:color w:val="auto"/>
              <w:szCs w:val="24"/>
              <w:lang w:val="en-US" w:eastAsia="zh-CN"/>
            </w:rPr>
            <w:fldChar w:fldCharType="begin"/>
          </w:r>
          <w:r>
            <w:rPr>
              <w:rFonts w:hint="eastAsia" w:ascii="黑体" w:hAnsi="黑体" w:eastAsia="黑体" w:cs="黑体"/>
              <w:color w:val="auto"/>
              <w:szCs w:val="24"/>
              <w:lang w:val="en-US" w:eastAsia="zh-CN"/>
            </w:rPr>
            <w:instrText xml:space="preserve"> HYPERLINK \l _Toc16074 </w:instrText>
          </w:r>
          <w:r>
            <w:rPr>
              <w:rFonts w:hint="eastAsia" w:ascii="黑体" w:hAnsi="黑体" w:eastAsia="黑体" w:cs="黑体"/>
              <w:color w:val="auto"/>
              <w:szCs w:val="24"/>
              <w:lang w:val="en-US" w:eastAsia="zh-CN"/>
            </w:rPr>
            <w:fldChar w:fldCharType="separate"/>
          </w:r>
          <w:r>
            <w:rPr>
              <w:rFonts w:hint="eastAsia" w:ascii="黑体" w:eastAsia="黑体"/>
              <w:bCs/>
              <w:color w:val="auto"/>
              <w:szCs w:val="30"/>
            </w:rPr>
            <w:t>第</w:t>
          </w:r>
          <w:r>
            <w:rPr>
              <w:rFonts w:hint="eastAsia" w:ascii="黑体" w:eastAsia="黑体"/>
              <w:bCs/>
              <w:color w:val="auto"/>
              <w:szCs w:val="30"/>
              <w:lang w:val="en-US" w:eastAsia="zh-CN"/>
            </w:rPr>
            <w:t>三</w:t>
          </w:r>
          <w:r>
            <w:rPr>
              <w:rFonts w:hint="eastAsia" w:ascii="黑体" w:eastAsia="黑体"/>
              <w:bCs/>
              <w:color w:val="auto"/>
              <w:szCs w:val="30"/>
            </w:rPr>
            <w:t>章  专项施工安全保证措施</w:t>
          </w:r>
          <w:r>
            <w:rPr>
              <w:color w:val="auto"/>
            </w:rPr>
            <w:tab/>
          </w:r>
          <w:r>
            <w:rPr>
              <w:color w:val="auto"/>
            </w:rPr>
            <w:fldChar w:fldCharType="begin"/>
          </w:r>
          <w:r>
            <w:rPr>
              <w:color w:val="auto"/>
            </w:rPr>
            <w:instrText xml:space="preserve"> PAGEREF _Toc16074 \h </w:instrText>
          </w:r>
          <w:r>
            <w:rPr>
              <w:color w:val="auto"/>
            </w:rPr>
            <w:fldChar w:fldCharType="separate"/>
          </w:r>
          <w:r>
            <w:rPr>
              <w:color w:val="auto"/>
            </w:rPr>
            <w:t>81</w:t>
          </w:r>
          <w:r>
            <w:rPr>
              <w:color w:val="auto"/>
            </w:rPr>
            <w:fldChar w:fldCharType="end"/>
          </w:r>
          <w:r>
            <w:rPr>
              <w:rFonts w:hint="eastAsia" w:ascii="黑体" w:hAnsi="黑体" w:eastAsia="黑体" w:cs="黑体"/>
              <w:color w:val="auto"/>
              <w:szCs w:val="24"/>
              <w:lang w:val="en-US" w:eastAsia="zh-CN"/>
            </w:rPr>
            <w:fldChar w:fldCharType="end"/>
          </w:r>
        </w:p>
        <w:p>
          <w:pPr>
            <w:pStyle w:val="18"/>
            <w:tabs>
              <w:tab w:val="right" w:leader="dot" w:pos="9072"/>
              <w:tab w:val="clear" w:pos="9061"/>
            </w:tabs>
            <w:rPr>
              <w:color w:val="auto"/>
            </w:rPr>
          </w:pPr>
          <w:r>
            <w:rPr>
              <w:rFonts w:hint="eastAsia" w:ascii="黑体" w:hAnsi="黑体" w:eastAsia="黑体" w:cs="黑体"/>
              <w:color w:val="auto"/>
              <w:szCs w:val="24"/>
              <w:lang w:val="en-US" w:eastAsia="zh-CN"/>
            </w:rPr>
            <w:fldChar w:fldCharType="begin"/>
          </w:r>
          <w:r>
            <w:rPr>
              <w:rFonts w:hint="eastAsia" w:ascii="黑体" w:hAnsi="黑体" w:eastAsia="黑体" w:cs="黑体"/>
              <w:color w:val="auto"/>
              <w:szCs w:val="24"/>
              <w:lang w:val="en-US" w:eastAsia="zh-CN"/>
            </w:rPr>
            <w:instrText xml:space="preserve"> HYPERLINK \l _Toc7861 </w:instrText>
          </w:r>
          <w:r>
            <w:rPr>
              <w:rFonts w:hint="eastAsia" w:ascii="黑体" w:hAnsi="黑体" w:eastAsia="黑体" w:cs="黑体"/>
              <w:color w:val="auto"/>
              <w:szCs w:val="24"/>
              <w:lang w:val="en-US" w:eastAsia="zh-CN"/>
            </w:rPr>
            <w:fldChar w:fldCharType="separate"/>
          </w:r>
          <w:r>
            <w:rPr>
              <w:rFonts w:hint="eastAsia" w:ascii="黑体" w:eastAsia="黑体"/>
              <w:bCs/>
              <w:color w:val="auto"/>
              <w:szCs w:val="30"/>
              <w:lang w:val="en-US" w:eastAsia="zh-CN"/>
            </w:rPr>
            <w:t>第四章  施工工期</w:t>
          </w:r>
          <w:r>
            <w:rPr>
              <w:color w:val="auto"/>
            </w:rPr>
            <w:tab/>
          </w:r>
          <w:r>
            <w:rPr>
              <w:color w:val="auto"/>
            </w:rPr>
            <w:fldChar w:fldCharType="begin"/>
          </w:r>
          <w:r>
            <w:rPr>
              <w:color w:val="auto"/>
            </w:rPr>
            <w:instrText xml:space="preserve"> PAGEREF _Toc7861 \h </w:instrText>
          </w:r>
          <w:r>
            <w:rPr>
              <w:color w:val="auto"/>
            </w:rPr>
            <w:fldChar w:fldCharType="separate"/>
          </w:r>
          <w:r>
            <w:rPr>
              <w:color w:val="auto"/>
            </w:rPr>
            <w:t>89</w:t>
          </w:r>
          <w:r>
            <w:rPr>
              <w:color w:val="auto"/>
            </w:rPr>
            <w:fldChar w:fldCharType="end"/>
          </w:r>
          <w:r>
            <w:rPr>
              <w:rFonts w:hint="eastAsia" w:ascii="黑体" w:hAnsi="黑体" w:eastAsia="黑体" w:cs="黑体"/>
              <w:color w:val="auto"/>
              <w:szCs w:val="24"/>
              <w:lang w:val="en-US" w:eastAsia="zh-CN"/>
            </w:rPr>
            <w:fldChar w:fldCharType="end"/>
          </w:r>
        </w:p>
        <w:p>
          <w:pPr>
            <w:pStyle w:val="18"/>
            <w:tabs>
              <w:tab w:val="right" w:leader="dot" w:pos="9072"/>
              <w:tab w:val="clear" w:pos="9061"/>
            </w:tabs>
            <w:rPr>
              <w:color w:val="auto"/>
            </w:rPr>
          </w:pPr>
          <w:r>
            <w:rPr>
              <w:rFonts w:hint="eastAsia" w:ascii="黑体" w:hAnsi="黑体" w:eastAsia="黑体" w:cs="黑体"/>
              <w:color w:val="auto"/>
              <w:szCs w:val="24"/>
              <w:lang w:val="en-US" w:eastAsia="zh-CN"/>
            </w:rPr>
            <w:fldChar w:fldCharType="begin"/>
          </w:r>
          <w:r>
            <w:rPr>
              <w:rFonts w:hint="eastAsia" w:ascii="黑体" w:hAnsi="黑体" w:eastAsia="黑体" w:cs="黑体"/>
              <w:color w:val="auto"/>
              <w:szCs w:val="24"/>
              <w:lang w:val="en-US" w:eastAsia="zh-CN"/>
            </w:rPr>
            <w:instrText xml:space="preserve"> HYPERLINK \l _Toc4991 </w:instrText>
          </w:r>
          <w:r>
            <w:rPr>
              <w:rFonts w:hint="eastAsia" w:ascii="黑体" w:hAnsi="黑体" w:eastAsia="黑体" w:cs="黑体"/>
              <w:color w:val="auto"/>
              <w:szCs w:val="24"/>
              <w:lang w:val="en-US" w:eastAsia="zh-CN"/>
            </w:rPr>
            <w:fldChar w:fldCharType="separate"/>
          </w:r>
          <w:r>
            <w:rPr>
              <w:rFonts w:hint="eastAsia" w:ascii="黑体" w:eastAsia="黑体"/>
              <w:bCs/>
              <w:color w:val="auto"/>
              <w:szCs w:val="30"/>
            </w:rPr>
            <w:t>第</w:t>
          </w:r>
          <w:r>
            <w:rPr>
              <w:rFonts w:hint="eastAsia" w:ascii="黑体" w:eastAsia="黑体"/>
              <w:bCs/>
              <w:color w:val="auto"/>
              <w:szCs w:val="30"/>
              <w:lang w:val="en-US" w:eastAsia="zh-CN"/>
            </w:rPr>
            <w:t>五</w:t>
          </w:r>
          <w:r>
            <w:rPr>
              <w:rFonts w:hint="eastAsia" w:ascii="黑体" w:eastAsia="黑体"/>
              <w:bCs/>
              <w:color w:val="auto"/>
              <w:szCs w:val="30"/>
            </w:rPr>
            <w:t>章</w:t>
          </w:r>
          <w:r>
            <w:rPr>
              <w:rFonts w:hint="eastAsia" w:ascii="黑体" w:eastAsia="黑体"/>
              <w:bCs/>
              <w:color w:val="auto"/>
              <w:szCs w:val="30"/>
              <w:lang w:val="en-US" w:eastAsia="zh-CN"/>
            </w:rPr>
            <w:t xml:space="preserve">  投资概算</w:t>
          </w:r>
          <w:r>
            <w:rPr>
              <w:color w:val="auto"/>
            </w:rPr>
            <w:tab/>
          </w:r>
          <w:r>
            <w:rPr>
              <w:color w:val="auto"/>
            </w:rPr>
            <w:fldChar w:fldCharType="begin"/>
          </w:r>
          <w:r>
            <w:rPr>
              <w:color w:val="auto"/>
            </w:rPr>
            <w:instrText xml:space="preserve"> PAGEREF _Toc4991 \h </w:instrText>
          </w:r>
          <w:r>
            <w:rPr>
              <w:color w:val="auto"/>
            </w:rPr>
            <w:fldChar w:fldCharType="separate"/>
          </w:r>
          <w:r>
            <w:rPr>
              <w:color w:val="auto"/>
            </w:rPr>
            <w:t>90</w:t>
          </w:r>
          <w:r>
            <w:rPr>
              <w:color w:val="auto"/>
            </w:rPr>
            <w:fldChar w:fldCharType="end"/>
          </w:r>
          <w:r>
            <w:rPr>
              <w:rFonts w:hint="eastAsia" w:ascii="黑体" w:hAnsi="黑体" w:eastAsia="黑体" w:cs="黑体"/>
              <w:color w:val="auto"/>
              <w:szCs w:val="24"/>
              <w:lang w:val="en-US" w:eastAsia="zh-CN"/>
            </w:rPr>
            <w:fldChar w:fldCharType="end"/>
          </w:r>
        </w:p>
        <w:p>
          <w:pPr>
            <w:pStyle w:val="18"/>
            <w:tabs>
              <w:tab w:val="right" w:leader="dot" w:pos="9072"/>
              <w:tab w:val="clear" w:pos="9061"/>
            </w:tabs>
            <w:rPr>
              <w:rFonts w:hint="eastAsia" w:asciiTheme="minorEastAsia" w:hAnsiTheme="minorEastAsia" w:eastAsiaTheme="minorEastAsia" w:cstheme="minorEastAsia"/>
              <w:b/>
              <w:color w:val="auto"/>
              <w:sz w:val="24"/>
              <w:szCs w:val="24"/>
              <w:lang w:val="en-US" w:eastAsia="zh-CN"/>
            </w:rPr>
          </w:pPr>
          <w:r>
            <w:rPr>
              <w:rFonts w:hint="eastAsia" w:ascii="黑体" w:hAnsi="黑体" w:eastAsia="黑体" w:cs="黑体"/>
              <w:color w:val="auto"/>
              <w:szCs w:val="24"/>
              <w:lang w:val="en-US" w:eastAsia="zh-CN"/>
            </w:rPr>
            <w:fldChar w:fldCharType="end"/>
          </w:r>
        </w:p>
      </w:sdtContent>
    </w:sdt>
    <w:p>
      <w:pPr>
        <w:keepNext w:val="0"/>
        <w:keepLines w:val="0"/>
        <w:pageBreakBefore w:val="0"/>
        <w:widowControl w:val="0"/>
        <w:kinsoku/>
        <w:wordWrap/>
        <w:overflowPunct/>
        <w:topLinePunct w:val="0"/>
        <w:autoSpaceDE/>
        <w:autoSpaceDN/>
        <w:bidi w:val="0"/>
        <w:adjustRightInd/>
        <w:snapToGrid w:val="0"/>
        <w:spacing w:line="560" w:lineRule="exact"/>
        <w:textAlignment w:val="auto"/>
        <w:outlineLvl w:val="9"/>
        <w:rPr>
          <w:rFonts w:hint="eastAsia"/>
          <w:b/>
          <w:color w:val="auto"/>
          <w:sz w:val="24"/>
        </w:rPr>
      </w:pPr>
      <w:bookmarkStart w:id="10" w:name="_Toc26622"/>
      <w:bookmarkStart w:id="11" w:name="_Toc26817"/>
      <w:bookmarkStart w:id="12" w:name="_Toc7657"/>
      <w:bookmarkStart w:id="13" w:name="_Toc21928"/>
      <w:bookmarkStart w:id="14" w:name="_Toc4707"/>
      <w:bookmarkStart w:id="15" w:name="_Toc1292"/>
      <w:bookmarkStart w:id="16" w:name="_Toc1171"/>
      <w:bookmarkStart w:id="17" w:name="_Toc14002"/>
      <w:bookmarkStart w:id="18" w:name="_Toc1805"/>
      <w:bookmarkStart w:id="19" w:name="_Toc25169"/>
      <w:bookmarkStart w:id="20" w:name="_Toc6140"/>
      <w:bookmarkStart w:id="21" w:name="_Toc12325"/>
      <w:bookmarkStart w:id="22" w:name="_Toc16953"/>
      <w:bookmarkStart w:id="23" w:name="_Toc5339"/>
      <w:bookmarkStart w:id="24" w:name="_Toc30217"/>
      <w:bookmarkStart w:id="25" w:name="_Toc28512"/>
    </w:p>
    <w:p>
      <w:pPr>
        <w:keepNext w:val="0"/>
        <w:keepLines w:val="0"/>
        <w:pageBreakBefore w:val="0"/>
        <w:widowControl w:val="0"/>
        <w:kinsoku/>
        <w:wordWrap/>
        <w:overflowPunct/>
        <w:topLinePunct w:val="0"/>
        <w:autoSpaceDE/>
        <w:autoSpaceDN/>
        <w:bidi w:val="0"/>
        <w:adjustRightInd/>
        <w:snapToGrid w:val="0"/>
        <w:spacing w:line="560" w:lineRule="exact"/>
        <w:textAlignment w:val="auto"/>
        <w:outlineLvl w:val="9"/>
        <w:rPr>
          <w:rFonts w:hint="eastAsia"/>
          <w:b/>
          <w:color w:val="auto"/>
          <w:sz w:val="24"/>
        </w:rPr>
      </w:pPr>
    </w:p>
    <w:p>
      <w:pPr>
        <w:keepNext w:val="0"/>
        <w:keepLines w:val="0"/>
        <w:pageBreakBefore w:val="0"/>
        <w:widowControl w:val="0"/>
        <w:kinsoku/>
        <w:wordWrap/>
        <w:overflowPunct/>
        <w:topLinePunct w:val="0"/>
        <w:autoSpaceDE/>
        <w:autoSpaceDN/>
        <w:bidi w:val="0"/>
        <w:adjustRightInd/>
        <w:snapToGrid w:val="0"/>
        <w:spacing w:line="560" w:lineRule="exact"/>
        <w:textAlignment w:val="auto"/>
        <w:outlineLvl w:val="9"/>
        <w:rPr>
          <w:rFonts w:hint="eastAsia"/>
          <w:b/>
          <w:color w:val="auto"/>
          <w:sz w:val="24"/>
        </w:rPr>
      </w:pPr>
      <w:r>
        <w:rPr>
          <w:rFonts w:hint="eastAsia"/>
          <w:b/>
          <w:color w:val="auto"/>
          <w:sz w:val="24"/>
        </w:rPr>
        <w:t>附件：</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pPr>
        <w:pStyle w:val="39"/>
        <w:keepNext w:val="0"/>
        <w:keepLines w:val="0"/>
        <w:pageBreakBefore w:val="0"/>
        <w:widowControl w:val="0"/>
        <w:numPr>
          <w:ilvl w:val="0"/>
          <w:numId w:val="0"/>
        </w:numPr>
        <w:kinsoku/>
        <w:wordWrap/>
        <w:overflowPunct/>
        <w:topLinePunct w:val="0"/>
        <w:autoSpaceDE/>
        <w:autoSpaceDN/>
        <w:bidi w:val="0"/>
        <w:adjustRightInd/>
        <w:spacing w:line="560" w:lineRule="exact"/>
        <w:ind w:firstLine="480" w:firstLineChars="200"/>
        <w:textAlignment w:val="auto"/>
        <w:outlineLvl w:val="9"/>
        <w:rPr>
          <w:rFonts w:hint="eastAsia" w:ascii="宋体" w:hAnsi="宋体" w:eastAsia="宋体" w:cs="Times New Roman"/>
          <w:color w:val="auto"/>
          <w:sz w:val="24"/>
          <w:highlight w:val="none"/>
          <w:lang w:val="en-US" w:eastAsia="zh-CN"/>
        </w:rPr>
      </w:pPr>
      <w:r>
        <w:rPr>
          <w:rFonts w:hint="eastAsia" w:ascii="宋体" w:hAnsi="宋体" w:eastAsia="宋体" w:cs="Times New Roman"/>
          <w:color w:val="auto"/>
          <w:sz w:val="24"/>
          <w:highlight w:val="none"/>
          <w:lang w:val="en-US" w:eastAsia="zh-CN"/>
        </w:rPr>
        <w:t>1.</w:t>
      </w:r>
      <w:r>
        <w:rPr>
          <w:rFonts w:hint="eastAsia" w:ascii="宋体" w:hAnsi="宋体" w:eastAsia="宋体" w:cs="Times New Roman"/>
          <w:color w:val="auto"/>
          <w:sz w:val="24"/>
          <w:highlight w:val="none"/>
          <w:lang w:eastAsia="zh-CN"/>
        </w:rPr>
        <w:t>《</w:t>
      </w:r>
      <w:r>
        <w:rPr>
          <w:rFonts w:hint="eastAsia" w:ascii="宋体" w:hAnsi="宋体" w:eastAsia="宋体" w:cs="Times New Roman"/>
          <w:color w:val="auto"/>
          <w:sz w:val="24"/>
          <w:highlight w:val="none"/>
        </w:rPr>
        <w:t>甘肃靖煤能源有限公司</w:t>
      </w:r>
      <w:r>
        <w:rPr>
          <w:rFonts w:hint="eastAsia" w:ascii="宋体" w:hAnsi="宋体" w:eastAsia="宋体" w:cs="Times New Roman"/>
          <w:color w:val="auto"/>
          <w:sz w:val="24"/>
          <w:highlight w:val="none"/>
          <w:lang w:val="en-US" w:eastAsia="zh-CN"/>
        </w:rPr>
        <w:t>红会第一煤矿</w:t>
      </w:r>
      <w:r>
        <w:rPr>
          <w:rFonts w:hint="eastAsia" w:ascii="宋体" w:hAnsi="宋体" w:eastAsia="宋体" w:cs="Times New Roman"/>
          <w:color w:val="auto"/>
          <w:sz w:val="24"/>
          <w:highlight w:val="none"/>
        </w:rPr>
        <w:t>分公司</w:t>
      </w:r>
      <w:r>
        <w:rPr>
          <w:rFonts w:hint="eastAsia" w:ascii="宋体" w:hAnsi="宋体" w:eastAsia="宋体" w:cs="Times New Roman"/>
          <w:color w:val="auto"/>
          <w:sz w:val="24"/>
          <w:highlight w:val="none"/>
          <w:lang w:val="en-US" w:eastAsia="zh-CN"/>
        </w:rPr>
        <w:t>地面压裂井》委托书；</w:t>
      </w:r>
    </w:p>
    <w:p>
      <w:pPr>
        <w:pStyle w:val="39"/>
        <w:keepNext w:val="0"/>
        <w:keepLines w:val="0"/>
        <w:pageBreakBefore w:val="0"/>
        <w:widowControl w:val="0"/>
        <w:numPr>
          <w:ilvl w:val="0"/>
          <w:numId w:val="0"/>
        </w:numPr>
        <w:kinsoku/>
        <w:wordWrap/>
        <w:overflowPunct/>
        <w:topLinePunct w:val="0"/>
        <w:autoSpaceDE/>
        <w:autoSpaceDN/>
        <w:bidi w:val="0"/>
        <w:adjustRightInd/>
        <w:spacing w:line="560" w:lineRule="exact"/>
        <w:ind w:firstLine="480" w:firstLineChars="200"/>
        <w:textAlignment w:val="auto"/>
        <w:outlineLvl w:val="9"/>
        <w:rPr>
          <w:rFonts w:hint="eastAsia" w:ascii="宋体" w:hAnsi="宋体" w:eastAsia="宋体" w:cs="Times New Roman"/>
          <w:color w:val="auto"/>
          <w:sz w:val="24"/>
          <w:highlight w:val="none"/>
          <w:lang w:val="en-US" w:eastAsia="zh-CN"/>
        </w:rPr>
      </w:pPr>
      <w:r>
        <w:rPr>
          <w:rFonts w:hint="eastAsia" w:ascii="宋体" w:hAnsi="宋体" w:eastAsia="宋体" w:cs="Times New Roman"/>
          <w:color w:val="auto"/>
          <w:sz w:val="24"/>
          <w:highlight w:val="none"/>
          <w:lang w:val="en-US" w:eastAsia="zh-CN"/>
        </w:rPr>
        <w:t>2.《甘肃靖煤能源有限公司红会第一煤矿分公司矿井瓦斯等级鉴定报告》（2024年度）；</w:t>
      </w:r>
    </w:p>
    <w:p>
      <w:pPr>
        <w:pStyle w:val="39"/>
        <w:keepNext w:val="0"/>
        <w:keepLines w:val="0"/>
        <w:pageBreakBefore w:val="0"/>
        <w:widowControl w:val="0"/>
        <w:numPr>
          <w:ilvl w:val="0"/>
          <w:numId w:val="0"/>
        </w:numPr>
        <w:kinsoku/>
        <w:wordWrap/>
        <w:overflowPunct/>
        <w:topLinePunct w:val="0"/>
        <w:autoSpaceDE/>
        <w:autoSpaceDN/>
        <w:bidi w:val="0"/>
        <w:adjustRightInd/>
        <w:spacing w:line="560" w:lineRule="exact"/>
        <w:ind w:firstLine="480" w:firstLineChars="200"/>
        <w:textAlignment w:val="auto"/>
        <w:outlineLvl w:val="9"/>
        <w:rPr>
          <w:rFonts w:hint="eastAsia" w:ascii="宋体" w:hAnsi="宋体" w:eastAsia="宋体" w:cs="Times New Roman"/>
          <w:color w:val="auto"/>
          <w:sz w:val="24"/>
          <w:highlight w:val="none"/>
          <w:lang w:val="en-US" w:eastAsia="zh-CN"/>
        </w:rPr>
      </w:pPr>
      <w:r>
        <w:rPr>
          <w:rFonts w:hint="eastAsia" w:ascii="宋体" w:hAnsi="宋体" w:eastAsia="宋体" w:cs="Times New Roman"/>
          <w:color w:val="auto"/>
          <w:sz w:val="24"/>
          <w:highlight w:val="none"/>
          <w:lang w:val="en-US" w:eastAsia="zh-CN"/>
        </w:rPr>
        <w:t>3.</w:t>
      </w:r>
      <w:r>
        <w:rPr>
          <w:rFonts w:hint="eastAsia" w:asciiTheme="minorEastAsia" w:hAnsiTheme="minorEastAsia" w:eastAsiaTheme="minorEastAsia" w:cstheme="minorEastAsia"/>
          <w:color w:val="auto"/>
          <w:sz w:val="24"/>
          <w:lang w:val="en-US" w:eastAsia="zh-CN"/>
        </w:rPr>
        <w:t>《甘肃靖远煤电股份有限公司便函》（2021）煤电便（生）第（106）号</w:t>
      </w:r>
      <w:r>
        <w:rPr>
          <w:rFonts w:hint="eastAsia" w:ascii="宋体" w:hAnsi="宋体" w:eastAsia="宋体" w:cs="Times New Roman"/>
          <w:color w:val="auto"/>
          <w:sz w:val="24"/>
          <w:highlight w:val="none"/>
          <w:lang w:val="en-US" w:eastAsia="zh-CN"/>
        </w:rPr>
        <w:t>。</w:t>
      </w:r>
    </w:p>
    <w:p>
      <w:pPr>
        <w:keepNext w:val="0"/>
        <w:keepLines w:val="0"/>
        <w:pageBreakBefore w:val="0"/>
        <w:widowControl w:val="0"/>
        <w:kinsoku/>
        <w:wordWrap/>
        <w:overflowPunct/>
        <w:topLinePunct w:val="0"/>
        <w:autoSpaceDE/>
        <w:autoSpaceDN/>
        <w:bidi w:val="0"/>
        <w:adjustRightInd/>
        <w:snapToGrid w:val="0"/>
        <w:spacing w:line="560" w:lineRule="exact"/>
        <w:textAlignment w:val="auto"/>
        <w:outlineLvl w:val="9"/>
        <w:rPr>
          <w:rFonts w:hint="eastAsia" w:ascii="Times New Roman" w:hAnsi="Times New Roman" w:cs="Times New Roman"/>
          <w:b/>
          <w:color w:val="auto"/>
          <w:sz w:val="24"/>
          <w:lang w:val="en-US" w:eastAsia="zh-CN"/>
        </w:rPr>
      </w:pPr>
      <w:bookmarkStart w:id="26" w:name="_Toc4784"/>
      <w:bookmarkStart w:id="27" w:name="_Toc15009"/>
      <w:bookmarkStart w:id="28" w:name="_Toc18260"/>
      <w:bookmarkStart w:id="29" w:name="_Toc6603"/>
      <w:bookmarkStart w:id="30" w:name="_Toc4321"/>
      <w:bookmarkStart w:id="31" w:name="_Toc18820"/>
      <w:bookmarkStart w:id="32" w:name="_Toc6538"/>
      <w:bookmarkStart w:id="33" w:name="_Toc19570"/>
      <w:bookmarkStart w:id="34" w:name="_Toc30277"/>
      <w:bookmarkStart w:id="35" w:name="_Toc6407"/>
      <w:bookmarkStart w:id="36" w:name="_Toc25796"/>
      <w:bookmarkStart w:id="37" w:name="_Toc6559"/>
      <w:bookmarkStart w:id="38" w:name="_Toc14494"/>
      <w:bookmarkStart w:id="39" w:name="_Toc24832"/>
      <w:bookmarkStart w:id="40" w:name="_Toc20566"/>
      <w:bookmarkStart w:id="41" w:name="_Toc8985"/>
      <w:bookmarkStart w:id="42" w:name="_Toc12340"/>
      <w:r>
        <w:rPr>
          <w:rFonts w:hint="eastAsia" w:ascii="Times New Roman" w:hAnsi="Times New Roman" w:cs="Times New Roman"/>
          <w:b/>
          <w:color w:val="auto"/>
          <w:sz w:val="24"/>
          <w:lang w:val="en-US" w:eastAsia="zh-CN"/>
        </w:rPr>
        <w:t>附录：</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pPr>
        <w:keepNext w:val="0"/>
        <w:keepLines w:val="0"/>
        <w:pageBreakBefore w:val="0"/>
        <w:widowControl w:val="0"/>
        <w:numPr>
          <w:ilvl w:val="0"/>
          <w:numId w:val="0"/>
        </w:numPr>
        <w:kinsoku/>
        <w:wordWrap/>
        <w:overflowPunct/>
        <w:topLinePunct w:val="0"/>
        <w:autoSpaceDE/>
        <w:autoSpaceDN/>
        <w:bidi w:val="0"/>
        <w:adjustRightInd/>
        <w:snapToGrid w:val="0"/>
        <w:spacing w:line="560" w:lineRule="exact"/>
        <w:ind w:firstLine="480" w:firstLineChars="200"/>
        <w:textAlignment w:val="auto"/>
        <w:outlineLvl w:val="9"/>
        <w:rPr>
          <w:rFonts w:hint="eastAsia" w:ascii="宋体" w:hAnsi="宋体" w:cs="宋体"/>
          <w:color w:val="auto"/>
          <w:sz w:val="24"/>
          <w:szCs w:val="24"/>
          <w:lang w:val="en-US" w:eastAsia="zh-CN"/>
        </w:rPr>
      </w:pPr>
      <w:bookmarkStart w:id="43" w:name="_Toc6162"/>
      <w:bookmarkStart w:id="44" w:name="_Toc13538"/>
      <w:bookmarkStart w:id="45" w:name="_Toc12248"/>
      <w:bookmarkStart w:id="46" w:name="_Toc11326"/>
      <w:bookmarkStart w:id="47" w:name="_Toc16756"/>
      <w:bookmarkStart w:id="48" w:name="_Toc4753"/>
      <w:bookmarkStart w:id="49" w:name="_Toc22896"/>
      <w:bookmarkStart w:id="50" w:name="_Toc30435"/>
      <w:bookmarkStart w:id="51" w:name="_Toc31632"/>
      <w:bookmarkStart w:id="52" w:name="_Toc11523"/>
      <w:bookmarkStart w:id="53" w:name="_Toc22726"/>
      <w:bookmarkStart w:id="54" w:name="_Toc14082"/>
      <w:bookmarkStart w:id="55" w:name="_Toc30773"/>
      <w:bookmarkStart w:id="56" w:name="_Toc186"/>
      <w:bookmarkStart w:id="57" w:name="_Toc27913"/>
      <w:bookmarkStart w:id="58" w:name="_Toc1088"/>
      <w:r>
        <w:rPr>
          <w:rFonts w:hint="eastAsia" w:ascii="宋体" w:hAnsi="宋体" w:cs="宋体"/>
          <w:color w:val="auto"/>
          <w:sz w:val="24"/>
          <w:szCs w:val="24"/>
          <w:lang w:val="en-US" w:eastAsia="zh-CN"/>
        </w:rPr>
        <w:t>1.</w:t>
      </w:r>
      <w:r>
        <w:rPr>
          <w:rFonts w:hint="eastAsia" w:ascii="宋体" w:hAnsi="宋体" w:eastAsia="宋体" w:cs="宋体"/>
          <w:color w:val="auto"/>
          <w:sz w:val="24"/>
          <w:szCs w:val="24"/>
          <w:lang w:val="en-US" w:eastAsia="zh-CN"/>
        </w:rPr>
        <w:t>《概算书》</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Pr>
          <w:rFonts w:hint="eastAsia" w:ascii="宋体" w:hAnsi="宋体" w:cs="宋体"/>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val="0"/>
        <w:spacing w:line="560" w:lineRule="exact"/>
        <w:textAlignment w:val="auto"/>
        <w:outlineLvl w:val="9"/>
        <w:rPr>
          <w:rFonts w:hint="eastAsia" w:ascii="Times New Roman" w:hAnsi="Times New Roman" w:cs="Times New Roman"/>
          <w:b/>
          <w:color w:val="auto"/>
          <w:sz w:val="24"/>
          <w:lang w:val="en-US" w:eastAsia="zh-CN"/>
        </w:rPr>
      </w:pPr>
      <w:r>
        <w:rPr>
          <w:rFonts w:hint="eastAsia" w:ascii="Times New Roman" w:hAnsi="Times New Roman" w:cs="Times New Roman"/>
          <w:b/>
          <w:color w:val="auto"/>
          <w:sz w:val="24"/>
          <w:lang w:val="en-US" w:eastAsia="zh-CN"/>
        </w:rPr>
        <w:t>附</w:t>
      </w:r>
      <w:r>
        <w:rPr>
          <w:rFonts w:hint="eastAsia" w:cs="Times New Roman"/>
          <w:b/>
          <w:color w:val="auto"/>
          <w:sz w:val="24"/>
          <w:lang w:val="en-US" w:eastAsia="zh-CN"/>
        </w:rPr>
        <w:t>图</w:t>
      </w:r>
      <w:r>
        <w:rPr>
          <w:rFonts w:hint="eastAsia" w:ascii="Times New Roman" w:hAnsi="Times New Roman" w:cs="Times New Roman"/>
          <w:b/>
          <w:color w:val="auto"/>
          <w:sz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val="0"/>
        <w:spacing w:line="560" w:lineRule="exact"/>
        <w:ind w:firstLine="480" w:firstLineChars="20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1.地面压裂井平面图（图号C1126-175-1）；</w:t>
      </w:r>
    </w:p>
    <w:p>
      <w:pPr>
        <w:pStyle w:val="2"/>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2.地面压裂井剖面图（图号C1126-175-2）；</w:t>
      </w:r>
    </w:p>
    <w:p>
      <w:pPr>
        <w:pStyle w:val="2"/>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3.地面压裂井+1150m标高水平切面图（图号C1126-175-3）。</w:t>
      </w:r>
    </w:p>
    <w:p>
      <w:pPr>
        <w:pStyle w:val="30"/>
        <w:rPr>
          <w:color w:val="auto"/>
        </w:rPr>
      </w:pPr>
    </w:p>
    <w:p>
      <w:pPr>
        <w:pStyle w:val="30"/>
        <w:rPr>
          <w:color w:val="auto"/>
        </w:rPr>
      </w:pPr>
    </w:p>
    <w:p>
      <w:pPr>
        <w:pStyle w:val="30"/>
        <w:jc w:val="both"/>
        <w:rPr>
          <w:color w:val="auto"/>
        </w:rPr>
        <w:sectPr>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pStyle w:val="3"/>
        <w:keepNext/>
        <w:keepLines/>
        <w:pageBreakBefore w:val="0"/>
        <w:widowControl w:val="0"/>
        <w:kinsoku/>
        <w:wordWrap/>
        <w:overflowPunct/>
        <w:topLinePunct w:val="0"/>
        <w:autoSpaceDE/>
        <w:autoSpaceDN/>
        <w:bidi w:val="0"/>
        <w:adjustRightInd/>
        <w:snapToGrid/>
        <w:spacing w:before="120" w:after="120" w:line="560" w:lineRule="exact"/>
        <w:jc w:val="center"/>
        <w:textAlignment w:val="auto"/>
        <w:rPr>
          <w:rFonts w:hint="eastAsia" w:ascii="黑体" w:eastAsia="黑体"/>
          <w:color w:val="auto"/>
          <w:sz w:val="30"/>
          <w:szCs w:val="30"/>
        </w:rPr>
      </w:pPr>
      <w:bookmarkStart w:id="59" w:name="_Toc13182"/>
      <w:r>
        <w:rPr>
          <w:rFonts w:hint="eastAsia" w:ascii="黑体" w:eastAsia="黑体"/>
          <w:color w:val="auto"/>
          <w:sz w:val="30"/>
          <w:szCs w:val="30"/>
        </w:rPr>
        <w:t>前  言</w:t>
      </w:r>
      <w:bookmarkEnd w:id="0"/>
      <w:bookmarkEnd w:id="1"/>
      <w:bookmarkEnd w:id="2"/>
      <w:bookmarkEnd w:id="3"/>
      <w:bookmarkEnd w:id="59"/>
    </w:p>
    <w:p>
      <w:pPr>
        <w:pStyle w:val="61"/>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color w:val="auto"/>
          <w:highlight w:val="none"/>
          <w:lang w:val="en-US" w:eastAsia="zh-CN"/>
        </w:rPr>
      </w:pPr>
      <w:r>
        <w:rPr>
          <w:rFonts w:hint="eastAsia" w:asciiTheme="minorEastAsia" w:hAnsiTheme="minorEastAsia" w:eastAsiaTheme="minorEastAsia" w:cstheme="minorEastAsia"/>
          <w:color w:val="auto"/>
          <w:sz w:val="24"/>
          <w:szCs w:val="24"/>
          <w:highlight w:val="none"/>
        </w:rPr>
        <w:t>红会第一煤矿</w:t>
      </w:r>
      <w:r>
        <w:rPr>
          <w:rFonts w:hint="eastAsia" w:asciiTheme="minorEastAsia" w:hAnsiTheme="minorEastAsia" w:eastAsiaTheme="minorEastAsia" w:cstheme="minorEastAsia"/>
          <w:color w:val="auto"/>
          <w:sz w:val="24"/>
          <w:szCs w:val="24"/>
          <w:highlight w:val="none"/>
          <w:lang w:val="en-US" w:eastAsia="zh-CN"/>
        </w:rPr>
        <w:t>分公司</w:t>
      </w:r>
      <w:r>
        <w:rPr>
          <w:rFonts w:hint="eastAsia" w:cs="Times New Roman"/>
          <w:color w:val="auto"/>
          <w:sz w:val="24"/>
          <w:highlight w:val="none"/>
          <w:lang w:val="en-US" w:eastAsia="zh-CN"/>
        </w:rPr>
        <w:t>南翼井田</w:t>
      </w:r>
      <w:r>
        <w:rPr>
          <w:rFonts w:hint="eastAsia" w:ascii="宋体" w:hAnsi="宋体" w:cs="Times New Roman"/>
          <w:color w:val="auto"/>
          <w:sz w:val="24"/>
          <w:highlight w:val="none"/>
          <w:lang w:val="en-US" w:eastAsia="zh-CN"/>
        </w:rPr>
        <w:t>煤层赋存为急倾斜特厚煤层，采用水平分段</w:t>
      </w:r>
      <w:r>
        <w:rPr>
          <w:rFonts w:hint="eastAsia" w:cs="Times New Roman"/>
          <w:color w:val="auto"/>
          <w:sz w:val="24"/>
          <w:highlight w:val="none"/>
          <w:lang w:val="en-US" w:eastAsia="zh-CN"/>
        </w:rPr>
        <w:t>综采</w:t>
      </w:r>
      <w:r>
        <w:rPr>
          <w:rFonts w:hint="eastAsia" w:ascii="宋体" w:hAnsi="宋体" w:cs="Times New Roman"/>
          <w:color w:val="auto"/>
          <w:sz w:val="24"/>
          <w:highlight w:val="none"/>
          <w:lang w:val="en-US" w:eastAsia="zh-CN"/>
        </w:rPr>
        <w:t>放顶煤</w:t>
      </w:r>
      <w:r>
        <w:rPr>
          <w:rFonts w:hint="eastAsia" w:cs="Times New Roman"/>
          <w:color w:val="auto"/>
          <w:sz w:val="24"/>
          <w:highlight w:val="none"/>
          <w:lang w:val="en-US" w:eastAsia="zh-CN"/>
        </w:rPr>
        <w:t>采煤法</w:t>
      </w:r>
      <w:r>
        <w:rPr>
          <w:rFonts w:hint="eastAsia" w:ascii="宋体" w:hAnsi="宋体" w:cs="Times New Roman"/>
          <w:color w:val="auto"/>
          <w:sz w:val="24"/>
          <w:highlight w:val="none"/>
          <w:lang w:val="en-US" w:eastAsia="zh-CN"/>
        </w:rPr>
        <w:t>。</w:t>
      </w:r>
      <w:r>
        <w:rPr>
          <w:rFonts w:hint="eastAsia" w:cs="Times New Roman"/>
          <w:color w:val="auto"/>
          <w:sz w:val="24"/>
          <w:highlight w:val="none"/>
          <w:lang w:val="en-US" w:eastAsia="zh-CN"/>
        </w:rPr>
        <w:t>南翼井田煤体埋深大，静载较高，且受坚硬顶板及采区双逆断层构造影响，南翼井田西翼工作面回采期间巷道变形大，矿压显现强烈。为避免</w:t>
      </w:r>
      <w:r>
        <w:rPr>
          <w:rFonts w:hint="eastAsia" w:ascii="宋体" w:hAnsi="宋体" w:cs="宋体"/>
          <w:color w:val="auto"/>
          <w:sz w:val="24"/>
          <w:szCs w:val="24"/>
          <w:highlight w:val="none"/>
          <w:lang w:val="en-US" w:eastAsia="zh-CN"/>
        </w:rPr>
        <w:t>强矿压事件的发生，</w:t>
      </w:r>
      <w:r>
        <w:rPr>
          <w:rFonts w:hint="eastAsia"/>
          <w:color w:val="auto"/>
          <w:highlight w:val="none"/>
          <w:lang w:val="en-US" w:eastAsia="zh-CN"/>
        </w:rPr>
        <w:t>受甘肃靖煤能源有限公司规划发展与环境保护部委托，我公司编制《甘肃靖煤能源有限公司红会第一煤矿分公司地面压裂井设计》。</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textAlignment w:val="auto"/>
        <w:rPr>
          <w:rFonts w:hint="default" w:ascii="宋体" w:hAnsi="宋体" w:eastAsia="宋体" w:cs="宋体"/>
          <w:b/>
          <w:bCs/>
          <w:color w:val="auto"/>
          <w:sz w:val="24"/>
          <w:szCs w:val="24"/>
          <w:lang w:val="en-US" w:eastAsia="zh-CN"/>
        </w:rPr>
      </w:pPr>
      <w:bookmarkStart w:id="60" w:name="_Toc2554"/>
      <w:r>
        <w:rPr>
          <w:rFonts w:hint="eastAsia" w:ascii="宋体" w:hAnsi="宋体" w:eastAsia="宋体" w:cs="宋体"/>
          <w:b/>
          <w:bCs/>
          <w:color w:val="auto"/>
          <w:sz w:val="24"/>
          <w:szCs w:val="24"/>
          <w:lang w:val="en-US" w:eastAsia="zh-CN"/>
        </w:rPr>
        <w:t>一、编制设计依据</w:t>
      </w:r>
      <w:bookmarkEnd w:id="60"/>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sz w:val="24"/>
          <w:szCs w:val="24"/>
          <w:lang w:val="en-US" w:eastAsia="zh-CN"/>
        </w:rPr>
      </w:pPr>
      <w:r>
        <w:rPr>
          <w:rFonts w:hint="eastAsia" w:ascii="宋体" w:hAnsi="宋体" w:cs="宋体"/>
          <w:b w:val="0"/>
          <w:bCs w:val="0"/>
          <w:color w:val="auto"/>
          <w:sz w:val="24"/>
          <w:szCs w:val="24"/>
          <w:lang w:val="en-US" w:eastAsia="zh-CN"/>
        </w:rPr>
        <w:t>（一）</w:t>
      </w:r>
      <w:r>
        <w:rPr>
          <w:rFonts w:hint="eastAsia" w:ascii="宋体" w:hAnsi="宋体" w:eastAsia="宋体" w:cs="宋体"/>
          <w:b w:val="0"/>
          <w:bCs w:val="0"/>
          <w:color w:val="auto"/>
          <w:sz w:val="24"/>
          <w:szCs w:val="24"/>
          <w:lang w:val="en-US" w:eastAsia="zh-CN"/>
        </w:rPr>
        <w:t>基础资料</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imes New Roman"/>
          <w:color w:val="auto"/>
          <w:sz w:val="24"/>
        </w:rPr>
      </w:pPr>
      <w:r>
        <w:rPr>
          <w:rFonts w:hint="eastAsia" w:ascii="宋体" w:hAnsi="宋体" w:cs="Times New Roman"/>
          <w:color w:val="auto"/>
          <w:sz w:val="24"/>
          <w:lang w:val="en-US" w:eastAsia="zh-CN"/>
        </w:rPr>
        <w:t>1.</w:t>
      </w:r>
      <w:r>
        <w:rPr>
          <w:rFonts w:hint="eastAsia" w:ascii="宋体" w:hAnsi="宋体" w:eastAsia="宋体" w:cs="Times New Roman"/>
          <w:color w:val="auto"/>
          <w:sz w:val="24"/>
          <w:lang w:eastAsia="zh-CN"/>
        </w:rPr>
        <w:t>《</w:t>
      </w:r>
      <w:r>
        <w:rPr>
          <w:rFonts w:hint="eastAsia" w:ascii="宋体" w:hAnsi="宋体" w:eastAsia="宋体" w:cs="Times New Roman"/>
          <w:color w:val="auto"/>
          <w:sz w:val="24"/>
        </w:rPr>
        <w:t>甘肃靖煤能源有限公司</w:t>
      </w:r>
      <w:r>
        <w:rPr>
          <w:rFonts w:hint="eastAsia" w:ascii="宋体" w:hAnsi="宋体" w:eastAsia="宋体" w:cs="Times New Roman"/>
          <w:color w:val="auto"/>
          <w:sz w:val="24"/>
          <w:lang w:val="en-US" w:eastAsia="zh-CN"/>
        </w:rPr>
        <w:t>红会第一煤矿</w:t>
      </w:r>
      <w:r>
        <w:rPr>
          <w:rFonts w:hint="eastAsia" w:ascii="宋体" w:hAnsi="宋体" w:eastAsia="宋体" w:cs="Times New Roman"/>
          <w:color w:val="auto"/>
          <w:sz w:val="24"/>
        </w:rPr>
        <w:t>分公司</w:t>
      </w:r>
      <w:r>
        <w:rPr>
          <w:rFonts w:hint="eastAsia" w:ascii="宋体" w:hAnsi="宋体" w:eastAsia="宋体" w:cs="Times New Roman"/>
          <w:color w:val="auto"/>
          <w:sz w:val="24"/>
          <w:lang w:val="en-US" w:eastAsia="zh-CN"/>
        </w:rPr>
        <w:t>地面压裂井》委托书</w:t>
      </w:r>
      <w:r>
        <w:rPr>
          <w:rFonts w:hint="eastAsia" w:ascii="宋体" w:hAnsi="宋体" w:eastAsia="宋体" w:cs="Times New Roman"/>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靖远煤业工程勘察设计有限公司编制的</w:t>
      </w:r>
      <w:r>
        <w:rPr>
          <w:rFonts w:hint="eastAsia" w:ascii="宋体" w:hAnsi="宋体"/>
          <w:color w:val="auto"/>
          <w:sz w:val="24"/>
          <w:highlight w:val="none"/>
        </w:rPr>
        <w:t>《</w:t>
      </w:r>
      <w:r>
        <w:rPr>
          <w:rFonts w:hint="eastAsia" w:ascii="宋体" w:hAnsi="宋体" w:cs="宋体"/>
          <w:color w:val="auto"/>
          <w:sz w:val="24"/>
          <w:szCs w:val="24"/>
          <w:highlight w:val="none"/>
          <w:lang w:val="en-US" w:eastAsia="zh-CN"/>
        </w:rPr>
        <w:t>甘肃靖煤能源有限公司红会第一煤矿分公司南一采区设计</w:t>
      </w:r>
      <w:r>
        <w:rPr>
          <w:rFonts w:hint="eastAsia" w:ascii="宋体" w:hAnsi="宋体"/>
          <w:color w:val="auto"/>
          <w:sz w:val="24"/>
          <w:highlight w:val="none"/>
        </w:rPr>
        <w:t>说明书》</w:t>
      </w:r>
      <w:r>
        <w:rPr>
          <w:rFonts w:hint="eastAsia" w:ascii="宋体" w:hAnsi="宋体" w:eastAsia="宋体" w:cs="宋体"/>
          <w:color w:val="auto"/>
          <w:sz w:val="24"/>
          <w:szCs w:val="24"/>
          <w:highlight w:val="none"/>
          <w:lang w:val="en-US" w:eastAsia="zh-CN"/>
        </w:rPr>
        <w:t>（20</w:t>
      </w:r>
      <w:r>
        <w:rPr>
          <w:rFonts w:hint="eastAsia" w:ascii="宋体" w:hAnsi="宋体" w:cs="宋体"/>
          <w:color w:val="auto"/>
          <w:sz w:val="24"/>
          <w:szCs w:val="24"/>
          <w:highlight w:val="none"/>
          <w:lang w:val="en-US" w:eastAsia="zh-CN"/>
        </w:rPr>
        <w:t>24</w:t>
      </w:r>
      <w:r>
        <w:rPr>
          <w:rFonts w:hint="eastAsia" w:ascii="宋体" w:hAnsi="宋体" w:eastAsia="宋体" w:cs="宋体"/>
          <w:color w:val="auto"/>
          <w:sz w:val="24"/>
          <w:szCs w:val="24"/>
          <w:highlight w:val="none"/>
          <w:lang w:val="en-US" w:eastAsia="zh-CN"/>
        </w:rPr>
        <w:t>年</w:t>
      </w:r>
      <w:r>
        <w:rPr>
          <w:rFonts w:hint="eastAsia" w:ascii="宋体" w:hAnsi="宋体" w:cs="宋体"/>
          <w:color w:val="auto"/>
          <w:sz w:val="24"/>
          <w:szCs w:val="24"/>
          <w:highlight w:val="none"/>
          <w:lang w:val="en-US" w:eastAsia="zh-CN"/>
        </w:rPr>
        <w:t>8</w:t>
      </w:r>
      <w:r>
        <w:rPr>
          <w:rFonts w:hint="eastAsia" w:ascii="宋体" w:hAnsi="宋体" w:eastAsia="宋体" w:cs="宋体"/>
          <w:color w:val="auto"/>
          <w:sz w:val="24"/>
          <w:szCs w:val="24"/>
          <w:highlight w:val="none"/>
          <w:lang w:val="en-US" w:eastAsia="zh-CN"/>
        </w:rPr>
        <w:t>月）；</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val="zh-CN" w:eastAsia="zh-CN"/>
        </w:rPr>
      </w:pPr>
      <w:r>
        <w:rPr>
          <w:rFonts w:hint="eastAsia" w:ascii="宋体" w:hAnsi="宋体" w:cs="宋体"/>
          <w:color w:val="auto"/>
          <w:sz w:val="24"/>
          <w:szCs w:val="24"/>
          <w:lang w:val="en-US" w:eastAsia="zh-CN"/>
        </w:rPr>
        <w:t>3.</w:t>
      </w:r>
      <w:r>
        <w:rPr>
          <w:rFonts w:hint="eastAsia" w:ascii="宋体" w:hAnsi="宋体" w:cs="Times New Roman"/>
          <w:color w:val="auto"/>
          <w:sz w:val="24"/>
          <w:lang w:val="en-US" w:eastAsia="zh-CN"/>
        </w:rPr>
        <w:t>太原理工大学</w:t>
      </w:r>
      <w:r>
        <w:rPr>
          <w:rFonts w:hint="eastAsia" w:ascii="宋体" w:hAnsi="宋体" w:eastAsia="宋体" w:cs="宋体"/>
          <w:color w:val="auto"/>
          <w:sz w:val="24"/>
          <w:szCs w:val="24"/>
          <w:lang w:val="en-US" w:eastAsia="zh-CN"/>
        </w:rPr>
        <w:t>编制的《</w:t>
      </w:r>
      <w:r>
        <w:rPr>
          <w:rFonts w:hint="eastAsia" w:ascii="宋体" w:hAnsi="宋体" w:cs="宋体"/>
          <w:color w:val="auto"/>
          <w:sz w:val="24"/>
          <w:szCs w:val="24"/>
          <w:lang w:val="en-US" w:eastAsia="zh-CN"/>
        </w:rPr>
        <w:t>甘肃靖煤能源有限公司红会第一煤矿分公司复杂构造区强矿压致灾机理及区域防控关键技术研究方案设计</w:t>
      </w:r>
      <w:r>
        <w:rPr>
          <w:rFonts w:hint="eastAsia" w:ascii="宋体" w:hAnsi="宋体" w:eastAsia="宋体" w:cs="宋体"/>
          <w:color w:val="auto"/>
          <w:sz w:val="24"/>
          <w:szCs w:val="24"/>
          <w:lang w:val="en-US" w:eastAsia="zh-CN"/>
        </w:rPr>
        <w:t>》（202</w:t>
      </w:r>
      <w:r>
        <w:rPr>
          <w:rFonts w:hint="eastAsia" w:ascii="宋体" w:hAnsi="宋体" w:cs="宋体"/>
          <w:color w:val="auto"/>
          <w:sz w:val="24"/>
          <w:szCs w:val="24"/>
          <w:lang w:val="en-US" w:eastAsia="zh-CN"/>
        </w:rPr>
        <w:t>5</w:t>
      </w:r>
      <w:r>
        <w:rPr>
          <w:rFonts w:hint="eastAsia" w:ascii="宋体" w:hAnsi="宋体" w:eastAsia="宋体" w:cs="宋体"/>
          <w:color w:val="auto"/>
          <w:sz w:val="24"/>
          <w:szCs w:val="24"/>
          <w:lang w:val="en-US" w:eastAsia="zh-CN"/>
        </w:rPr>
        <w:t>年</w:t>
      </w:r>
      <w:r>
        <w:rPr>
          <w:rFonts w:hint="eastAsia" w:ascii="宋体" w:hAnsi="宋体" w:cs="宋体"/>
          <w:color w:val="auto"/>
          <w:sz w:val="24"/>
          <w:szCs w:val="24"/>
          <w:lang w:val="en-US" w:eastAsia="zh-CN"/>
        </w:rPr>
        <w:t>8</w:t>
      </w:r>
      <w:r>
        <w:rPr>
          <w:rFonts w:hint="eastAsia" w:ascii="宋体" w:hAnsi="宋体" w:eastAsia="宋体" w:cs="宋体"/>
          <w:color w:val="auto"/>
          <w:sz w:val="24"/>
          <w:szCs w:val="24"/>
          <w:lang w:val="en-US" w:eastAsia="zh-CN"/>
        </w:rPr>
        <w:t>月）</w:t>
      </w:r>
      <w:r>
        <w:rPr>
          <w:rFonts w:hint="eastAsia" w:ascii="宋体" w:hAnsi="宋体" w:eastAsia="宋体" w:cs="宋体"/>
          <w:color w:val="auto"/>
          <w:sz w:val="24"/>
          <w:szCs w:val="24"/>
          <w:lang w:val="zh-CN"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val="zh-CN" w:eastAsia="zh-CN"/>
        </w:rPr>
      </w:pPr>
      <w:r>
        <w:rPr>
          <w:rFonts w:hint="eastAsia" w:ascii="宋体" w:hAnsi="宋体" w:cs="宋体"/>
          <w:color w:val="auto"/>
          <w:sz w:val="24"/>
          <w:szCs w:val="24"/>
          <w:lang w:val="en-US" w:eastAsia="zh-CN"/>
        </w:rPr>
        <w:t>4.</w:t>
      </w:r>
      <w:r>
        <w:rPr>
          <w:rFonts w:hint="eastAsia" w:ascii="宋体" w:hAnsi="宋体" w:cs="Times New Roman"/>
          <w:color w:val="auto"/>
          <w:sz w:val="24"/>
          <w:lang w:val="en-US" w:eastAsia="zh-CN"/>
        </w:rPr>
        <w:t>红会第一煤矿分公司</w:t>
      </w:r>
      <w:r>
        <w:rPr>
          <w:rFonts w:hint="eastAsia" w:ascii="宋体" w:hAnsi="宋体" w:eastAsia="宋体" w:cs="宋体"/>
          <w:color w:val="auto"/>
          <w:sz w:val="24"/>
          <w:szCs w:val="24"/>
          <w:lang w:val="en-US" w:eastAsia="zh-CN"/>
        </w:rPr>
        <w:t>提供的</w:t>
      </w:r>
      <w:r>
        <w:rPr>
          <w:rFonts w:hint="eastAsia" w:ascii="宋体" w:hAnsi="宋体" w:cs="宋体"/>
          <w:color w:val="auto"/>
          <w:sz w:val="24"/>
          <w:szCs w:val="24"/>
          <w:lang w:val="en-US" w:eastAsia="zh-CN"/>
        </w:rPr>
        <w:t>采掘工程平面图等</w:t>
      </w:r>
      <w:r>
        <w:rPr>
          <w:rFonts w:hint="eastAsia" w:ascii="宋体" w:hAnsi="宋体" w:eastAsia="宋体" w:cs="宋体"/>
          <w:color w:val="auto"/>
          <w:sz w:val="24"/>
          <w:szCs w:val="24"/>
          <w:lang w:val="en-US" w:eastAsia="zh-CN"/>
        </w:rPr>
        <w:t>相关基础资料</w:t>
      </w:r>
      <w:r>
        <w:rPr>
          <w:rFonts w:hint="eastAsia" w:ascii="宋体" w:hAnsi="宋体" w:cs="宋体"/>
          <w:color w:val="auto"/>
          <w:sz w:val="24"/>
          <w:szCs w:val="24"/>
          <w:lang w:val="zh-CN"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（二）</w:t>
      </w:r>
      <w:r>
        <w:rPr>
          <w:rFonts w:hint="eastAsia" w:ascii="宋体" w:hAnsi="宋体" w:eastAsia="宋体" w:cs="宋体"/>
          <w:b w:val="0"/>
          <w:bCs w:val="0"/>
          <w:color w:val="auto"/>
          <w:sz w:val="24"/>
          <w:szCs w:val="24"/>
          <w:lang w:val="en-US" w:eastAsia="zh-CN"/>
        </w:rPr>
        <w:t>规程、规范及相关标准</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sz w:val="24"/>
          <w:szCs w:val="24"/>
        </w:rPr>
      </w:pPr>
      <w:r>
        <w:rPr>
          <w:rFonts w:hint="eastAsia" w:ascii="宋体" w:hAnsi="宋体" w:cs="宋体"/>
          <w:b w:val="0"/>
          <w:bCs w:val="0"/>
          <w:color w:val="auto"/>
          <w:sz w:val="24"/>
          <w:szCs w:val="24"/>
          <w:lang w:val="en-US" w:eastAsia="zh-CN"/>
        </w:rPr>
        <w:t>1.</w:t>
      </w:r>
      <w:r>
        <w:rPr>
          <w:rFonts w:hint="eastAsia" w:ascii="宋体" w:hAnsi="宋体" w:eastAsia="宋体" w:cs="宋体"/>
          <w:b w:val="0"/>
          <w:bCs w:val="0"/>
          <w:color w:val="auto"/>
          <w:sz w:val="24"/>
          <w:szCs w:val="24"/>
        </w:rPr>
        <w:t>《煤矿安全规程》(20</w:t>
      </w:r>
      <w:r>
        <w:rPr>
          <w:rFonts w:hint="eastAsia" w:ascii="宋体" w:hAnsi="宋体" w:eastAsia="宋体" w:cs="宋体"/>
          <w:b w:val="0"/>
          <w:bCs w:val="0"/>
          <w:color w:val="auto"/>
          <w:sz w:val="24"/>
          <w:szCs w:val="24"/>
          <w:lang w:val="en-US" w:eastAsia="zh-CN"/>
        </w:rPr>
        <w:t>2</w:t>
      </w:r>
      <w:r>
        <w:rPr>
          <w:rFonts w:hint="eastAsia" w:ascii="宋体" w:hAnsi="宋体" w:cs="宋体"/>
          <w:b w:val="0"/>
          <w:bCs w:val="0"/>
          <w:color w:val="auto"/>
          <w:sz w:val="24"/>
          <w:szCs w:val="24"/>
          <w:lang w:val="en-US" w:eastAsia="zh-CN"/>
        </w:rPr>
        <w:t>5</w:t>
      </w:r>
      <w:r>
        <w:rPr>
          <w:rFonts w:hint="eastAsia" w:ascii="宋体" w:hAnsi="宋体" w:eastAsia="宋体" w:cs="宋体"/>
          <w:b w:val="0"/>
          <w:bCs w:val="0"/>
          <w:color w:val="auto"/>
          <w:sz w:val="24"/>
          <w:szCs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2.</w:t>
      </w:r>
      <w:r>
        <w:rPr>
          <w:rFonts w:hint="eastAsia" w:ascii="宋体" w:hAnsi="宋体" w:eastAsia="宋体" w:cs="宋体"/>
          <w:color w:val="auto"/>
          <w:sz w:val="24"/>
          <w:szCs w:val="24"/>
        </w:rPr>
        <w:t>《防治煤</w:t>
      </w:r>
      <w:r>
        <w:rPr>
          <w:rFonts w:hint="eastAsia" w:ascii="宋体" w:hAnsi="宋体" w:cs="宋体"/>
          <w:color w:val="auto"/>
          <w:sz w:val="24"/>
          <w:szCs w:val="24"/>
          <w:lang w:val="en-US" w:eastAsia="zh-CN"/>
        </w:rPr>
        <w:t>矿冲击地压细则</w:t>
      </w:r>
      <w:r>
        <w:rPr>
          <w:rFonts w:hint="eastAsia" w:ascii="宋体" w:hAnsi="宋体" w:eastAsia="宋体" w:cs="宋体"/>
          <w:color w:val="auto"/>
          <w:sz w:val="24"/>
          <w:szCs w:val="24"/>
        </w:rPr>
        <w:t>》(</w:t>
      </w:r>
      <w:r>
        <w:rPr>
          <w:rFonts w:hint="eastAsia" w:ascii="宋体" w:hAnsi="宋体" w:cs="宋体"/>
          <w:color w:val="auto"/>
          <w:sz w:val="24"/>
          <w:szCs w:val="24"/>
          <w:lang w:val="en-US" w:eastAsia="zh-CN"/>
        </w:rPr>
        <w:t>煤安监技装</w:t>
      </w:r>
      <w:r>
        <w:rPr>
          <w:rFonts w:hint="eastAsia" w:ascii="宋体" w:hAnsi="宋体" w:eastAsia="宋体" w:cs="宋体"/>
          <w:color w:val="auto"/>
          <w:sz w:val="24"/>
          <w:szCs w:val="24"/>
          <w:lang w:val="en-US" w:eastAsia="zh-CN"/>
        </w:rPr>
        <w:t>〔201</w:t>
      </w:r>
      <w:r>
        <w:rPr>
          <w:rFonts w:hint="eastAsia" w:ascii="宋体" w:hAnsi="宋体" w:cs="宋体"/>
          <w:color w:val="auto"/>
          <w:sz w:val="24"/>
          <w:szCs w:val="24"/>
          <w:lang w:val="en-US" w:eastAsia="zh-CN"/>
        </w:rPr>
        <w:t>8</w:t>
      </w:r>
      <w:r>
        <w:rPr>
          <w:rFonts w:hint="eastAsia" w:ascii="宋体" w:hAnsi="宋体" w:eastAsia="宋体" w:cs="宋体"/>
          <w:color w:val="auto"/>
          <w:sz w:val="24"/>
          <w:szCs w:val="24"/>
          <w:lang w:val="en-US" w:eastAsia="zh-CN"/>
        </w:rPr>
        <w:t>〕8号</w:t>
      </w:r>
      <w:r>
        <w:rPr>
          <w:rFonts w:hint="eastAsia" w:ascii="宋体" w:hAnsi="宋体" w:eastAsia="宋体" w:cs="宋体"/>
          <w:color w:val="auto"/>
          <w:sz w:val="24"/>
          <w:szCs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3.</w:t>
      </w:r>
      <w:r>
        <w:rPr>
          <w:rFonts w:hint="eastAsia" w:ascii="宋体" w:hAnsi="宋体" w:eastAsia="宋体" w:cs="宋体"/>
          <w:color w:val="auto"/>
          <w:sz w:val="24"/>
          <w:szCs w:val="24"/>
        </w:rPr>
        <w:t>《煤炭工业矿井设计规范》（GB</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rPr>
        <w:t>50215</w:t>
      </w:r>
      <w:r>
        <w:rPr>
          <w:rFonts w:hint="default" w:ascii="宋体" w:hAnsi="宋体" w:cs="宋体"/>
          <w:color w:val="auto"/>
          <w:sz w:val="24"/>
          <w:szCs w:val="24"/>
          <w:lang w:val="en-US" w:eastAsia="zh-CN"/>
        </w:rPr>
        <w:t>-</w:t>
      </w:r>
      <w:r>
        <w:rPr>
          <w:rFonts w:hint="eastAsia" w:ascii="宋体" w:hAnsi="宋体" w:eastAsia="宋体" w:cs="宋体"/>
          <w:color w:val="auto"/>
          <w:sz w:val="24"/>
          <w:szCs w:val="24"/>
        </w:rPr>
        <w:t>2015）；</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4.</w:t>
      </w:r>
      <w:r>
        <w:rPr>
          <w:rFonts w:hint="eastAsia" w:ascii="宋体" w:hAnsi="宋体" w:eastAsia="宋体" w:cs="宋体"/>
          <w:color w:val="auto"/>
          <w:sz w:val="24"/>
          <w:szCs w:val="24"/>
        </w:rPr>
        <w:t>《煤炭工业矿井工程建设项目设计文件编制标准》（GB</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rPr>
        <w:t>T</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rPr>
        <w:t>50554</w:t>
      </w:r>
      <w:r>
        <w:rPr>
          <w:rFonts w:hint="default" w:ascii="宋体" w:hAnsi="宋体" w:cs="宋体"/>
          <w:color w:val="auto"/>
          <w:sz w:val="24"/>
          <w:szCs w:val="24"/>
          <w:lang w:val="en-US" w:eastAsia="zh-CN"/>
        </w:rPr>
        <w:t>-</w:t>
      </w:r>
      <w:r>
        <w:rPr>
          <w:rFonts w:hint="eastAsia" w:ascii="宋体" w:hAnsi="宋体" w:eastAsia="宋体" w:cs="宋体"/>
          <w:color w:val="auto"/>
          <w:sz w:val="24"/>
          <w:szCs w:val="24"/>
        </w:rPr>
        <w:t>201</w:t>
      </w:r>
      <w:r>
        <w:rPr>
          <w:rFonts w:hint="default" w:ascii="宋体" w:hAnsi="宋体" w:cs="宋体"/>
          <w:color w:val="auto"/>
          <w:sz w:val="24"/>
          <w:szCs w:val="24"/>
          <w:lang w:val="en-US"/>
        </w:rPr>
        <w:t>7</w:t>
      </w:r>
      <w:r>
        <w:rPr>
          <w:rFonts w:hint="eastAsia" w:ascii="宋体" w:hAnsi="宋体" w:eastAsia="宋体" w:cs="宋体"/>
          <w:color w:val="auto"/>
          <w:sz w:val="24"/>
          <w:szCs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eastAsia="zh-CN"/>
        </w:rPr>
      </w:pPr>
      <w:r>
        <w:rPr>
          <w:rFonts w:hint="eastAsia" w:ascii="宋体" w:hAnsi="宋体" w:cs="宋体"/>
          <w:color w:val="auto"/>
          <w:sz w:val="24"/>
          <w:szCs w:val="24"/>
          <w:lang w:val="en-US" w:eastAsia="zh-CN"/>
        </w:rPr>
        <w:t>5.</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冲击地压测定、监测与防治方法 第14部分：</w:t>
      </w:r>
      <w:r>
        <w:rPr>
          <w:rFonts w:hint="eastAsia" w:ascii="宋体" w:hAnsi="宋体" w:eastAsia="宋体" w:cs="宋体"/>
          <w:color w:val="auto"/>
          <w:sz w:val="24"/>
          <w:szCs w:val="24"/>
          <w:lang w:val="en-US" w:eastAsia="zh-CN"/>
        </w:rPr>
        <w:t>顶板水压致裂防治方法》</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GB/T 25217.14</w:t>
      </w:r>
      <w:r>
        <w:rPr>
          <w:rFonts w:hint="default"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20</w:t>
      </w:r>
      <w:r>
        <w:rPr>
          <w:rFonts w:hint="eastAsia" w:ascii="宋体" w:hAnsi="宋体" w:eastAsia="宋体" w:cs="宋体"/>
          <w:color w:val="auto"/>
          <w:sz w:val="24"/>
          <w:szCs w:val="24"/>
          <w:lang w:val="en-US" w:eastAsia="zh-CN"/>
        </w:rPr>
        <w:t>20</w:t>
      </w:r>
      <w:r>
        <w:rPr>
          <w:rFonts w:hint="eastAsia" w:ascii="宋体" w:hAnsi="宋体" w:eastAsia="宋体" w:cs="宋体"/>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eastAsia="zh-CN"/>
        </w:rPr>
      </w:pPr>
      <w:r>
        <w:rPr>
          <w:rFonts w:hint="eastAsia" w:ascii="宋体" w:hAnsi="宋体" w:cs="宋体"/>
          <w:color w:val="auto"/>
          <w:sz w:val="24"/>
          <w:szCs w:val="24"/>
          <w:lang w:val="en-US" w:eastAsia="zh-CN"/>
        </w:rPr>
        <w:t>6.</w:t>
      </w:r>
      <w:r>
        <w:rPr>
          <w:rFonts w:hint="eastAsia" w:ascii="宋体" w:hAnsi="宋体" w:eastAsia="宋体" w:cs="宋体"/>
          <w:color w:val="auto"/>
          <w:sz w:val="24"/>
          <w:szCs w:val="24"/>
          <w:lang w:val="en-US" w:eastAsia="zh-CN"/>
        </w:rPr>
        <w:t>《煤层气钻井作业规范》（</w:t>
      </w:r>
      <w:r>
        <w:rPr>
          <w:rFonts w:hint="eastAsia" w:ascii="宋体" w:hAnsi="宋体" w:eastAsia="宋体" w:cs="宋体"/>
          <w:color w:val="auto"/>
          <w:sz w:val="24"/>
          <w:szCs w:val="24"/>
          <w:lang w:eastAsia="zh-CN"/>
        </w:rPr>
        <w:t>DZ</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T</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eastAsia="zh-CN"/>
        </w:rPr>
        <w:t>0250</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2010</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eastAsia="zh-CN"/>
        </w:rPr>
      </w:pPr>
      <w:r>
        <w:rPr>
          <w:rFonts w:hint="eastAsia" w:ascii="宋体" w:hAnsi="宋体" w:cs="宋体"/>
          <w:color w:val="auto"/>
          <w:sz w:val="24"/>
          <w:szCs w:val="24"/>
          <w:lang w:val="en-US" w:eastAsia="zh-CN"/>
        </w:rPr>
        <w:t>7.</w:t>
      </w:r>
      <w:r>
        <w:rPr>
          <w:rFonts w:hint="eastAsia" w:ascii="宋体" w:hAnsi="宋体" w:eastAsia="宋体" w:cs="宋体"/>
          <w:color w:val="auto"/>
          <w:sz w:val="24"/>
          <w:szCs w:val="24"/>
          <w:lang w:eastAsia="zh-CN"/>
        </w:rPr>
        <w:t>《油、气、水井压裂设计与施工及效果评估方法》（SY/T</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lang w:eastAsia="zh-CN"/>
        </w:rPr>
        <w:t>5289</w:t>
      </w:r>
      <w:r>
        <w:rPr>
          <w:rFonts w:hint="default"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2016）</w:t>
      </w:r>
      <w:r>
        <w:rPr>
          <w:rFonts w:hint="eastAsia" w:ascii="宋体" w:hAnsi="宋体" w:cs="宋体"/>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default" w:ascii="宋体" w:hAnsi="宋体" w:eastAsia="宋体" w:cs="宋体"/>
          <w:color w:val="auto"/>
          <w:sz w:val="24"/>
          <w:szCs w:val="24"/>
          <w:lang w:val="zh-CN" w:eastAsia="zh-CN"/>
        </w:rPr>
      </w:pPr>
      <w:r>
        <w:rPr>
          <w:rFonts w:hint="eastAsia" w:ascii="宋体" w:hAnsi="宋体" w:cs="宋体"/>
          <w:color w:val="auto"/>
          <w:sz w:val="24"/>
          <w:szCs w:val="24"/>
          <w:lang w:val="en-US" w:eastAsia="zh-CN"/>
        </w:rPr>
        <w:t>8.</w:t>
      </w:r>
      <w:r>
        <w:rPr>
          <w:rFonts w:hint="eastAsia" w:ascii="宋体" w:hAnsi="宋体" w:eastAsia="宋体" w:cs="宋体"/>
          <w:color w:val="auto"/>
          <w:sz w:val="24"/>
          <w:szCs w:val="24"/>
          <w:lang w:val="zh-CN" w:eastAsia="zh-CN"/>
        </w:rPr>
        <w:t>《煤矿井巷工程质量验收规范</w:t>
      </w:r>
      <w:r>
        <w:rPr>
          <w:rFonts w:hint="eastAsia" w:ascii="宋体" w:hAnsi="宋体" w:cs="宋体"/>
          <w:color w:val="auto"/>
          <w:sz w:val="24"/>
          <w:szCs w:val="24"/>
          <w:lang w:val="zh-CN" w:eastAsia="zh-CN"/>
        </w:rPr>
        <w:t>（</w:t>
      </w:r>
      <w:r>
        <w:rPr>
          <w:rFonts w:hint="eastAsia" w:ascii="宋体" w:hAnsi="宋体" w:cs="宋体"/>
          <w:color w:val="auto"/>
          <w:sz w:val="24"/>
          <w:szCs w:val="24"/>
          <w:lang w:val="en-US" w:eastAsia="zh-CN"/>
        </w:rPr>
        <w:t>2022版</w:t>
      </w:r>
      <w:r>
        <w:rPr>
          <w:rFonts w:hint="eastAsia" w:ascii="宋体" w:hAnsi="宋体" w:cs="宋体"/>
          <w:color w:val="auto"/>
          <w:sz w:val="24"/>
          <w:szCs w:val="24"/>
          <w:lang w:val="zh-CN" w:eastAsia="zh-CN"/>
        </w:rPr>
        <w:t>）</w:t>
      </w:r>
      <w:r>
        <w:rPr>
          <w:rFonts w:hint="eastAsia" w:ascii="宋体" w:hAnsi="宋体" w:eastAsia="宋体" w:cs="宋体"/>
          <w:color w:val="auto"/>
          <w:sz w:val="24"/>
          <w:szCs w:val="24"/>
          <w:lang w:val="zh-CN" w:eastAsia="zh-CN"/>
        </w:rPr>
        <w:t>》（GB</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zh-CN" w:eastAsia="zh-CN"/>
        </w:rPr>
        <w:t>50213</w:t>
      </w:r>
      <w:r>
        <w:rPr>
          <w:rFonts w:hint="default" w:ascii="宋体" w:hAnsi="宋体" w:cs="宋体"/>
          <w:color w:val="auto"/>
          <w:sz w:val="24"/>
          <w:szCs w:val="24"/>
          <w:lang w:val="en-US" w:eastAsia="zh-CN"/>
        </w:rPr>
        <w:t>-</w:t>
      </w:r>
      <w:r>
        <w:rPr>
          <w:rFonts w:hint="eastAsia" w:ascii="宋体" w:hAnsi="宋体" w:eastAsia="宋体" w:cs="宋体"/>
          <w:color w:val="auto"/>
          <w:sz w:val="24"/>
          <w:szCs w:val="24"/>
          <w:lang w:val="zh-CN" w:eastAsia="zh-CN"/>
        </w:rPr>
        <w:t>2010）</w:t>
      </w:r>
      <w:r>
        <w:rPr>
          <w:rFonts w:hint="eastAsia" w:ascii="宋体" w:hAnsi="宋体" w:cs="宋体"/>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default" w:ascii="宋体" w:hAnsi="宋体" w:eastAsia="宋体" w:cs="宋体"/>
          <w:color w:val="auto"/>
          <w:sz w:val="24"/>
          <w:szCs w:val="24"/>
          <w:lang w:val="zh-CN" w:eastAsia="zh-CN"/>
        </w:rPr>
      </w:pPr>
      <w:r>
        <w:rPr>
          <w:rFonts w:hint="eastAsia" w:ascii="宋体" w:hAnsi="宋体" w:cs="宋体"/>
          <w:color w:val="auto"/>
          <w:sz w:val="24"/>
          <w:szCs w:val="24"/>
          <w:lang w:val="en-US" w:eastAsia="zh-CN"/>
        </w:rPr>
        <w:t>9.</w:t>
      </w:r>
      <w:r>
        <w:rPr>
          <w:rFonts w:hint="eastAsia" w:ascii="宋体" w:hAnsi="宋体" w:eastAsia="宋体" w:cs="宋体"/>
          <w:color w:val="auto"/>
          <w:sz w:val="24"/>
          <w:szCs w:val="24"/>
          <w:lang w:val="zh-CN" w:eastAsia="zh-CN"/>
        </w:rPr>
        <w:t>《煤矿井巷工程施工</w:t>
      </w:r>
      <w:r>
        <w:rPr>
          <w:rFonts w:hint="eastAsia" w:ascii="宋体" w:hAnsi="宋体" w:cs="宋体"/>
          <w:color w:val="auto"/>
          <w:sz w:val="24"/>
          <w:szCs w:val="24"/>
          <w:lang w:val="en-US" w:eastAsia="zh-CN"/>
        </w:rPr>
        <w:t>标准</w:t>
      </w:r>
      <w:r>
        <w:rPr>
          <w:rFonts w:hint="eastAsia" w:ascii="宋体" w:hAnsi="宋体" w:eastAsia="宋体" w:cs="宋体"/>
          <w:color w:val="auto"/>
          <w:sz w:val="24"/>
          <w:szCs w:val="24"/>
          <w:lang w:val="zh-CN" w:eastAsia="zh-CN"/>
        </w:rPr>
        <w:t>》（GB</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zh-CN" w:eastAsia="zh-CN"/>
        </w:rPr>
        <w:t>50511</w:t>
      </w:r>
      <w:r>
        <w:rPr>
          <w:rFonts w:hint="default" w:ascii="宋体" w:hAnsi="宋体" w:cs="宋体"/>
          <w:color w:val="auto"/>
          <w:sz w:val="24"/>
          <w:szCs w:val="24"/>
          <w:lang w:val="en-US" w:eastAsia="zh-CN"/>
        </w:rPr>
        <w:t>-</w:t>
      </w:r>
      <w:r>
        <w:rPr>
          <w:rFonts w:hint="eastAsia" w:ascii="宋体" w:hAnsi="宋体" w:eastAsia="宋体" w:cs="宋体"/>
          <w:color w:val="auto"/>
          <w:sz w:val="24"/>
          <w:szCs w:val="24"/>
          <w:lang w:val="zh-CN" w:eastAsia="zh-CN"/>
        </w:rPr>
        <w:t>20</w:t>
      </w:r>
      <w:r>
        <w:rPr>
          <w:rFonts w:hint="eastAsia" w:ascii="宋体" w:hAnsi="宋体" w:cs="宋体"/>
          <w:color w:val="auto"/>
          <w:sz w:val="24"/>
          <w:szCs w:val="24"/>
          <w:lang w:val="en-US" w:eastAsia="zh-CN"/>
        </w:rPr>
        <w:t>22</w:t>
      </w:r>
      <w:r>
        <w:rPr>
          <w:rFonts w:hint="eastAsia" w:ascii="宋体" w:hAnsi="宋体" w:eastAsia="宋体" w:cs="宋体"/>
          <w:color w:val="auto"/>
          <w:sz w:val="24"/>
          <w:szCs w:val="24"/>
          <w:lang w:val="zh-CN" w:eastAsia="zh-CN"/>
        </w:rPr>
        <w:t>）</w:t>
      </w:r>
      <w:r>
        <w:rPr>
          <w:rFonts w:hint="eastAsia" w:ascii="宋体" w:hAnsi="宋体" w:cs="宋体"/>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default" w:ascii="宋体" w:hAnsi="宋体" w:eastAsia="宋体" w:cs="宋体"/>
          <w:color w:val="auto"/>
          <w:sz w:val="24"/>
          <w:szCs w:val="24"/>
          <w:lang w:val="zh-CN" w:eastAsia="zh-CN"/>
        </w:rPr>
      </w:pPr>
      <w:r>
        <w:rPr>
          <w:rFonts w:hint="eastAsia" w:ascii="宋体" w:hAnsi="宋体" w:cs="宋体"/>
          <w:color w:val="auto"/>
          <w:sz w:val="24"/>
          <w:szCs w:val="24"/>
          <w:lang w:val="en-US" w:eastAsia="zh-CN"/>
        </w:rPr>
        <w:t>10.</w:t>
      </w:r>
      <w:r>
        <w:rPr>
          <w:rFonts w:hint="eastAsia" w:ascii="宋体" w:hAnsi="宋体" w:eastAsia="宋体" w:cs="宋体"/>
          <w:color w:val="auto"/>
          <w:sz w:val="24"/>
          <w:szCs w:val="24"/>
          <w:lang w:val="zh-CN" w:eastAsia="zh-CN"/>
        </w:rPr>
        <w:t>《石油测井作业安全规范》（SY 5726-201</w:t>
      </w:r>
      <w:r>
        <w:rPr>
          <w:rFonts w:hint="eastAsia" w:ascii="宋体" w:hAnsi="宋体" w:cs="宋体"/>
          <w:color w:val="auto"/>
          <w:sz w:val="24"/>
          <w:szCs w:val="24"/>
          <w:lang w:val="en-US" w:eastAsia="zh-CN"/>
        </w:rPr>
        <w:t>8</w:t>
      </w:r>
      <w:r>
        <w:rPr>
          <w:rFonts w:hint="eastAsia" w:ascii="宋体" w:hAnsi="宋体" w:eastAsia="宋体" w:cs="宋体"/>
          <w:color w:val="auto"/>
          <w:sz w:val="24"/>
          <w:szCs w:val="24"/>
          <w:lang w:val="zh-CN" w:eastAsia="zh-CN"/>
        </w:rPr>
        <w:t>）</w:t>
      </w:r>
      <w:r>
        <w:rPr>
          <w:rFonts w:hint="eastAsia" w:ascii="宋体" w:hAnsi="宋体" w:cs="宋体"/>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11.</w:t>
      </w:r>
      <w:r>
        <w:rPr>
          <w:rFonts w:hint="eastAsia" w:ascii="宋体" w:hAnsi="宋体" w:eastAsia="宋体" w:cs="宋体"/>
          <w:color w:val="auto"/>
          <w:sz w:val="24"/>
          <w:szCs w:val="24"/>
          <w:lang w:val="zh-CN" w:eastAsia="zh-CN"/>
        </w:rPr>
        <w:t>《水文</w:t>
      </w:r>
      <w:r>
        <w:rPr>
          <w:rFonts w:hint="eastAsia" w:ascii="宋体" w:hAnsi="宋体" w:cs="宋体"/>
          <w:color w:val="auto"/>
          <w:sz w:val="24"/>
          <w:szCs w:val="24"/>
          <w:lang w:val="en-US" w:eastAsia="zh-CN"/>
        </w:rPr>
        <w:t>水井</w:t>
      </w:r>
      <w:r>
        <w:rPr>
          <w:rFonts w:hint="eastAsia" w:ascii="宋体" w:hAnsi="宋体" w:eastAsia="宋体" w:cs="宋体"/>
          <w:color w:val="auto"/>
          <w:sz w:val="24"/>
          <w:szCs w:val="24"/>
          <w:lang w:val="zh-CN" w:eastAsia="zh-CN"/>
        </w:rPr>
        <w:t>地质钻探规程》（DZ/T</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zh-CN" w:eastAsia="zh-CN"/>
        </w:rPr>
        <w:t>0148-</w:t>
      </w:r>
      <w:r>
        <w:rPr>
          <w:rFonts w:hint="eastAsia" w:ascii="宋体" w:hAnsi="宋体" w:cs="宋体"/>
          <w:color w:val="auto"/>
          <w:sz w:val="24"/>
          <w:szCs w:val="24"/>
          <w:lang w:val="en-US" w:eastAsia="zh-CN"/>
        </w:rPr>
        <w:t>2014</w:t>
      </w:r>
      <w:r>
        <w:rPr>
          <w:rFonts w:hint="eastAsia" w:ascii="宋体" w:hAnsi="宋体" w:eastAsia="宋体" w:cs="宋体"/>
          <w:color w:val="auto"/>
          <w:sz w:val="24"/>
          <w:szCs w:val="24"/>
          <w:lang w:val="zh-CN" w:eastAsia="zh-CN"/>
        </w:rPr>
        <w:t>）</w:t>
      </w:r>
      <w:r>
        <w:rPr>
          <w:rFonts w:hint="eastAsia" w:ascii="宋体" w:hAnsi="宋体" w:cs="宋体"/>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宋体" w:hAnsi="宋体" w:cs="宋体"/>
          <w:color w:val="auto"/>
          <w:sz w:val="24"/>
          <w:szCs w:val="24"/>
          <w:lang w:val="en-US" w:eastAsia="zh-CN"/>
        </w:rPr>
        <w:t>12.</w:t>
      </w:r>
      <w:r>
        <w:rPr>
          <w:rFonts w:hint="eastAsia" w:asciiTheme="minorEastAsia" w:hAnsiTheme="minorEastAsia" w:eastAsiaTheme="minorEastAsia" w:cstheme="minorEastAsia"/>
          <w:color w:val="auto"/>
          <w:sz w:val="24"/>
          <w:szCs w:val="24"/>
        </w:rPr>
        <w:t>《钻前工程及井场布置技术要求》</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SY/T 5466</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color w:val="auto"/>
          <w:sz w:val="24"/>
          <w:szCs w:val="24"/>
        </w:rPr>
        <w:t>20</w:t>
      </w:r>
      <w:r>
        <w:rPr>
          <w:rFonts w:hint="eastAsia" w:asciiTheme="minorEastAsia" w:hAnsiTheme="minorEastAsia" w:eastAsiaTheme="minorEastAsia" w:cstheme="minorEastAsia"/>
          <w:color w:val="auto"/>
          <w:sz w:val="24"/>
          <w:szCs w:val="24"/>
          <w:lang w:val="en-US" w:eastAsia="zh-CN"/>
        </w:rPr>
        <w:t>13</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13.</w:t>
      </w:r>
      <w:r>
        <w:rPr>
          <w:rFonts w:hint="eastAsia" w:ascii="宋体" w:hAnsi="宋体" w:eastAsia="宋体" w:cs="宋体"/>
          <w:color w:val="auto"/>
          <w:sz w:val="24"/>
          <w:szCs w:val="24"/>
          <w:lang w:val="zh-CN" w:eastAsia="zh-CN"/>
        </w:rPr>
        <w:t>《地质勘探安全规程》（AQ</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lang w:val="zh-CN" w:eastAsia="zh-CN"/>
        </w:rPr>
        <w:t>2004-2005）</w:t>
      </w:r>
      <w:r>
        <w:rPr>
          <w:rFonts w:hint="eastAsia" w:ascii="宋体" w:hAnsi="宋体" w:cs="宋体"/>
          <w:color w:val="auto"/>
          <w:sz w:val="24"/>
          <w:szCs w:val="24"/>
          <w:lang w:val="zh-CN"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textAlignment w:val="auto"/>
        <w:rPr>
          <w:rFonts w:hint="eastAsia" w:ascii="宋体" w:hAnsi="宋体" w:eastAsia="宋体" w:cs="宋体"/>
          <w:b/>
          <w:bCs/>
          <w:color w:val="auto"/>
          <w:sz w:val="24"/>
          <w:szCs w:val="24"/>
          <w:lang w:val="en-US" w:eastAsia="zh-CN"/>
        </w:rPr>
      </w:pPr>
      <w:r>
        <w:rPr>
          <w:rFonts w:hint="eastAsia" w:ascii="宋体" w:hAnsi="宋体" w:cs="宋体"/>
          <w:b/>
          <w:bCs/>
          <w:color w:val="auto"/>
          <w:sz w:val="24"/>
          <w:szCs w:val="24"/>
          <w:lang w:val="en-US" w:eastAsia="zh-CN"/>
        </w:rPr>
        <w:t>二</w:t>
      </w:r>
      <w:r>
        <w:rPr>
          <w:rFonts w:hint="eastAsia" w:ascii="宋体" w:hAnsi="宋体" w:eastAsia="宋体" w:cs="宋体"/>
          <w:b/>
          <w:bCs/>
          <w:color w:val="auto"/>
          <w:sz w:val="24"/>
          <w:szCs w:val="24"/>
          <w:lang w:val="en-US" w:eastAsia="zh-CN"/>
        </w:rPr>
        <w:t>、设计指导思想</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imes New Roman"/>
          <w:color w:val="auto"/>
          <w:sz w:val="24"/>
          <w:highlight w:val="none"/>
          <w:lang w:val="en-US" w:eastAsia="zh-CN"/>
        </w:rPr>
      </w:pPr>
      <w:r>
        <w:rPr>
          <w:rFonts w:hint="eastAsia" w:ascii="宋体" w:hAnsi="宋体" w:cs="Times New Roman"/>
          <w:color w:val="auto"/>
          <w:sz w:val="24"/>
          <w:highlight w:val="none"/>
          <w:lang w:val="en-US" w:eastAsia="zh-CN"/>
        </w:rPr>
        <w:t>结合红会第一煤矿分公司南翼井田煤层赋存、顶底板条件及矿压显现特征，依靠技术进步，采用先进技术装备与工艺，科学进行布孔设计，选取合理的压裂参数，实现超前区域性卸压，主动化解风险，避免该区域工作面回采过程中上覆岩层破断失稳导致强矿压事件发生，实现安全开采。</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textAlignment w:val="auto"/>
        <w:rPr>
          <w:rFonts w:hint="eastAsia" w:ascii="宋体" w:hAnsi="宋体" w:eastAsia="宋体" w:cs="宋体"/>
          <w:b/>
          <w:bCs/>
          <w:color w:val="auto"/>
          <w:sz w:val="24"/>
          <w:szCs w:val="24"/>
          <w:lang w:val="en-US" w:eastAsia="zh-CN"/>
        </w:rPr>
      </w:pPr>
      <w:bookmarkStart w:id="61" w:name="_Toc5364"/>
      <w:bookmarkStart w:id="62" w:name="_Toc14917"/>
      <w:bookmarkStart w:id="63" w:name="_Toc118537671"/>
      <w:r>
        <w:rPr>
          <w:rFonts w:hint="eastAsia" w:ascii="宋体" w:hAnsi="宋体" w:cs="宋体"/>
          <w:b/>
          <w:bCs/>
          <w:color w:val="auto"/>
          <w:sz w:val="24"/>
          <w:szCs w:val="24"/>
          <w:lang w:val="en-US" w:eastAsia="zh-CN"/>
        </w:rPr>
        <w:t>三</w:t>
      </w:r>
      <w:r>
        <w:rPr>
          <w:rFonts w:hint="eastAsia" w:ascii="宋体" w:hAnsi="宋体" w:eastAsia="宋体" w:cs="宋体"/>
          <w:b/>
          <w:bCs/>
          <w:color w:val="auto"/>
          <w:sz w:val="24"/>
          <w:szCs w:val="24"/>
          <w:lang w:val="en-US" w:eastAsia="zh-CN"/>
        </w:rPr>
        <w:t>、</w:t>
      </w:r>
      <w:bookmarkEnd w:id="61"/>
      <w:r>
        <w:rPr>
          <w:rFonts w:hint="eastAsia" w:ascii="宋体" w:hAnsi="宋体" w:eastAsia="宋体" w:cs="宋体"/>
          <w:b/>
          <w:bCs/>
          <w:color w:val="auto"/>
          <w:sz w:val="24"/>
          <w:szCs w:val="24"/>
          <w:lang w:val="en-US" w:eastAsia="zh-CN"/>
        </w:rPr>
        <w:t>压裂的必要性</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imes New Roman"/>
          <w:color w:val="auto"/>
          <w:sz w:val="24"/>
          <w:highlight w:val="none"/>
          <w:lang w:val="en-US" w:eastAsia="zh-CN"/>
        </w:rPr>
      </w:pPr>
      <w:r>
        <w:rPr>
          <w:rFonts w:hint="eastAsia" w:ascii="宋体" w:hAnsi="宋体" w:cs="Times New Roman"/>
          <w:color w:val="auto"/>
          <w:sz w:val="24"/>
          <w:highlight w:val="none"/>
          <w:lang w:val="en-US" w:eastAsia="zh-CN"/>
        </w:rPr>
        <w:t>急倾斜煤层双逆断层构造地质条件下，工作面开采后，采场空间形成特殊的顶底板“夹持”结构，使得应力向底煤转移集中，并在底煤中积聚较高的能量。当受到悬臂破断高动载、断层滑移动载或开采扰动后，底煤系统失稳破坏瞬间释放大量能量，易造成强矿压动力现象。为避免该区域开采过程中上覆岩层破断失稳导致强矿压事件发生，采用地面压裂技术对上覆厚硬岩层进行弱化，形成大范围体积缝网，有效破坏顶板结构完整性，促使采空区顶板充分垮落；同时调控高位悬臂结构的破断特征，减小来压步距、降低来压强度，从源头消除顶板自然断裂产生的强动载。地面压裂在目标区域形成大范围“卸压弱化带”，阻隔水平构造应力的传递路径；覆岩结构完整性被破坏后，顶底板“夹持”效应减弱，有效降低了底煤区域的集中静载。通过上述“动—静”协同调控，可有效防控该区域开采过程中上覆岩层破断失稳导致强矿压动力事件。</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textAlignment w:val="auto"/>
        <w:rPr>
          <w:rFonts w:hint="eastAsia" w:ascii="宋体" w:hAnsi="宋体" w:cs="宋体"/>
          <w:b/>
          <w:bCs/>
          <w:color w:val="auto"/>
          <w:sz w:val="24"/>
          <w:szCs w:val="24"/>
          <w:highlight w:val="none"/>
          <w:lang w:val="en-US" w:eastAsia="zh-CN"/>
        </w:rPr>
      </w:pPr>
      <w:r>
        <w:rPr>
          <w:rFonts w:hint="eastAsia" w:ascii="宋体" w:hAnsi="宋体" w:cs="宋体"/>
          <w:b/>
          <w:bCs/>
          <w:color w:val="auto"/>
          <w:sz w:val="24"/>
          <w:szCs w:val="24"/>
          <w:lang w:val="en-US" w:eastAsia="zh-CN"/>
        </w:rPr>
        <w:t>四</w:t>
      </w:r>
      <w:r>
        <w:rPr>
          <w:rFonts w:hint="eastAsia" w:ascii="宋体" w:hAnsi="宋体" w:eastAsia="宋体" w:cs="宋体"/>
          <w:b/>
          <w:bCs/>
          <w:color w:val="auto"/>
          <w:sz w:val="24"/>
          <w:szCs w:val="24"/>
          <w:lang w:val="en-US" w:eastAsia="zh-CN"/>
        </w:rPr>
        <w:t>、</w:t>
      </w:r>
      <w:r>
        <w:rPr>
          <w:rFonts w:hint="eastAsia" w:ascii="宋体" w:hAnsi="宋体" w:eastAsia="宋体" w:cs="宋体"/>
          <w:b/>
          <w:bCs/>
          <w:color w:val="auto"/>
          <w:sz w:val="24"/>
          <w:szCs w:val="24"/>
          <w:highlight w:val="none"/>
          <w:lang w:val="en-US" w:eastAsia="zh-CN"/>
        </w:rPr>
        <w:t>设计主要</w:t>
      </w:r>
      <w:bookmarkEnd w:id="62"/>
      <w:bookmarkEnd w:id="63"/>
      <w:r>
        <w:rPr>
          <w:rFonts w:hint="eastAsia" w:ascii="宋体" w:hAnsi="宋体" w:cs="宋体"/>
          <w:b/>
          <w:bCs/>
          <w:color w:val="auto"/>
          <w:sz w:val="24"/>
          <w:szCs w:val="24"/>
          <w:highlight w:val="none"/>
          <w:lang w:val="en-US" w:eastAsia="zh-CN"/>
        </w:rPr>
        <w:t>特点及内容</w:t>
      </w:r>
    </w:p>
    <w:p>
      <w:pPr>
        <w:pStyle w:val="2"/>
        <w:keepNext w:val="0"/>
        <w:keepLines w:val="0"/>
        <w:pageBreakBefore w:val="0"/>
        <w:widowControl w:val="0"/>
        <w:kinsoku/>
        <w:wordWrap/>
        <w:overflowPunct/>
        <w:topLinePunct w:val="0"/>
        <w:autoSpaceDE/>
        <w:autoSpaceDN/>
        <w:bidi w:val="0"/>
        <w:adjustRightInd/>
        <w:snapToGrid/>
        <w:spacing w:beforeAutospacing="0" w:after="0" w:afterAutospacing="0" w:line="560" w:lineRule="exact"/>
        <w:ind w:left="0" w:leftChars="0" w:firstLine="480" w:firstLineChars="200"/>
        <w:textAlignment w:val="auto"/>
        <w:rPr>
          <w:rFonts w:hint="default"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highlight w:val="none"/>
          <w:lang w:val="en-US" w:eastAsia="zh-CN" w:bidi="ar-SA"/>
        </w:rPr>
        <w:t>1.主要特点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Autospacing="0" w:line="560" w:lineRule="exact"/>
        <w:ind w:left="0" w:leftChars="0" w:firstLine="480" w:firstLineChars="200"/>
        <w:jc w:val="left"/>
        <w:textAlignment w:val="auto"/>
        <w:rPr>
          <w:rFonts w:hint="eastAsia" w:ascii="宋体" w:hAnsi="宋体" w:eastAsia="宋体" w:cs="Times New Roman"/>
          <w:color w:val="auto"/>
          <w:kern w:val="2"/>
          <w:sz w:val="24"/>
          <w:szCs w:val="24"/>
          <w:highlight w:val="none"/>
          <w:lang w:val="en-US" w:eastAsia="zh-CN" w:bidi="ar-SA"/>
        </w:rPr>
      </w:pPr>
      <w:r>
        <w:rPr>
          <w:rFonts w:hint="eastAsia" w:ascii="宋体" w:hAnsi="宋体" w:cs="宋体"/>
          <w:b w:val="0"/>
          <w:bCs w:val="0"/>
          <w:color w:val="auto"/>
          <w:sz w:val="24"/>
          <w:szCs w:val="24"/>
          <w:lang w:val="en-US" w:eastAsia="zh-CN"/>
        </w:rPr>
        <w:t>（1）关键层选择：</w:t>
      </w:r>
      <w:r>
        <w:rPr>
          <w:rFonts w:hint="eastAsia" w:ascii="宋体" w:hAnsi="宋体" w:eastAsia="宋体" w:cs="Times New Roman"/>
          <w:color w:val="auto"/>
          <w:kern w:val="2"/>
          <w:sz w:val="24"/>
          <w:szCs w:val="24"/>
          <w:highlight w:val="none"/>
          <w:lang w:val="en-US" w:eastAsia="zh-CN" w:bidi="ar-SA"/>
        </w:rPr>
        <w:t>通过覆岩结构分析、能量积聚计算和破断距模拟，</w:t>
      </w:r>
      <w:r>
        <w:rPr>
          <w:rFonts w:hint="default" w:ascii="宋体" w:hAnsi="宋体" w:eastAsia="宋体" w:cs="Times New Roman"/>
          <w:color w:val="auto"/>
          <w:kern w:val="2"/>
          <w:sz w:val="24"/>
          <w:szCs w:val="24"/>
          <w:highlight w:val="none"/>
          <w:lang w:val="en-US" w:eastAsia="zh-CN" w:bidi="ar-SA"/>
        </w:rPr>
        <w:t>最终选定煤层顶板上方55m处的中位关键层作为压裂目标层，兼顾卸压效果与施工安全性。</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（2）轨迹控制：多靶点动态调整，根据12个剖面煤层倾角变化，设置13个靶点，实时调整轨迹，适应复杂地质条件。</w:t>
      </w:r>
    </w:p>
    <w:p>
      <w:pPr>
        <w:pStyle w:val="24"/>
        <w:keepNext w:val="0"/>
        <w:keepLines w:val="0"/>
        <w:pageBreakBefore w:val="0"/>
        <w:widowControl w:val="0"/>
        <w:kinsoku/>
        <w:wordWrap/>
        <w:overflowPunct/>
        <w:topLinePunct w:val="0"/>
        <w:autoSpaceDE/>
        <w:autoSpaceDN/>
        <w:bidi w:val="0"/>
        <w:adjustRightInd/>
        <w:snapToGrid/>
        <w:spacing w:after="0" w:line="560" w:lineRule="exact"/>
        <w:ind w:left="0" w:leftChars="0"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（3）压裂效果预测：对压裂形态控制，预期形成椭球体缝网（长轴 ≥ 200m；短轴40～50m）。实现区域性岩层弱化，避免大面积悬顶和动载冲击。降低采场应力集中，诱导顶板分层破断，将大能量事件分解为多次低能释放。</w:t>
      </w:r>
    </w:p>
    <w:p>
      <w:pPr>
        <w:pStyle w:val="24"/>
        <w:keepNext w:val="0"/>
        <w:keepLines w:val="0"/>
        <w:pageBreakBefore w:val="0"/>
        <w:widowControl w:val="0"/>
        <w:kinsoku/>
        <w:wordWrap/>
        <w:overflowPunct/>
        <w:topLinePunct w:val="0"/>
        <w:autoSpaceDE/>
        <w:autoSpaceDN/>
        <w:bidi w:val="0"/>
        <w:adjustRightInd/>
        <w:snapToGrid/>
        <w:spacing w:after="0" w:line="560" w:lineRule="exact"/>
        <w:ind w:left="0" w:leftChars="0" w:firstLine="480" w:firstLineChars="200"/>
        <w:textAlignment w:val="auto"/>
        <w:rPr>
          <w:rFonts w:hint="default"/>
          <w:color w:val="auto"/>
          <w:lang w:val="en-US" w:eastAsia="zh-CN"/>
        </w:rPr>
      </w:pPr>
      <w:r>
        <w:rPr>
          <w:rFonts w:hint="eastAsia" w:ascii="宋体" w:hAnsi="宋体" w:cs="宋体"/>
          <w:b w:val="0"/>
          <w:bCs w:val="0"/>
          <w:color w:val="auto"/>
          <w:sz w:val="24"/>
          <w:szCs w:val="24"/>
          <w:lang w:val="en-US" w:eastAsia="zh-CN"/>
        </w:rPr>
        <w:t>（4）效果检验：微地震监测布设4组测点（每组10个），实时监测裂缝扩展；采用压力拟合、生产动态反演、钻孔应力计等多方法综合评估。</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2.</w:t>
      </w:r>
      <w:r>
        <w:rPr>
          <w:rFonts w:hint="eastAsia" w:ascii="宋体" w:hAnsi="宋体" w:eastAsia="宋体" w:cs="宋体"/>
          <w:b w:val="0"/>
          <w:bCs w:val="0"/>
          <w:color w:val="auto"/>
          <w:sz w:val="24"/>
          <w:szCs w:val="24"/>
          <w:highlight w:val="none"/>
          <w:lang w:val="en-US" w:eastAsia="zh-CN"/>
        </w:rPr>
        <w:t>主要</w:t>
      </w:r>
      <w:r>
        <w:rPr>
          <w:rFonts w:hint="eastAsia" w:ascii="宋体" w:hAnsi="宋体" w:cs="宋体"/>
          <w:b w:val="0"/>
          <w:bCs w:val="0"/>
          <w:color w:val="auto"/>
          <w:sz w:val="24"/>
          <w:szCs w:val="24"/>
          <w:highlight w:val="none"/>
          <w:lang w:val="en-US" w:eastAsia="zh-CN"/>
        </w:rPr>
        <w:t>内容</w:t>
      </w:r>
    </w:p>
    <w:p>
      <w:pPr>
        <w:pStyle w:val="61"/>
        <w:keepNext w:val="0"/>
        <w:keepLines w:val="0"/>
        <w:pageBreakBefore w:val="0"/>
        <w:widowControl w:val="0"/>
        <w:kinsoku/>
        <w:wordWrap/>
        <w:overflowPunct/>
        <w:topLinePunct w:val="0"/>
        <w:autoSpaceDE/>
        <w:autoSpaceDN/>
        <w:bidi w:val="0"/>
        <w:adjustRightInd/>
        <w:snapToGrid/>
        <w:textAlignment w:val="auto"/>
        <w:rPr>
          <w:rFonts w:hint="eastAsia"/>
          <w:color w:val="auto"/>
          <w:highlight w:val="none"/>
          <w:lang w:val="en-US" w:eastAsia="zh-CN"/>
        </w:rPr>
      </w:pPr>
      <w:r>
        <w:rPr>
          <w:rFonts w:hint="eastAsia"/>
          <w:b w:val="0"/>
          <w:bCs w:val="0"/>
          <w:color w:val="auto"/>
          <w:highlight w:val="none"/>
          <w:lang w:val="en-US" w:eastAsia="zh-CN"/>
        </w:rPr>
        <w:t>压裂主要内容</w:t>
      </w:r>
      <w:r>
        <w:rPr>
          <w:rFonts w:hint="eastAsia"/>
          <w:color w:val="auto"/>
          <w:highlight w:val="none"/>
          <w:lang w:val="en-US" w:eastAsia="zh-CN"/>
        </w:rPr>
        <w:t>是在坚硬岩层中形成人工预制裂缝，防止坚硬岩层的大面积悬顶、大尺度破断带来强矿压动力灾害，设计主要内容包括：</w:t>
      </w:r>
    </w:p>
    <w:p>
      <w:pPr>
        <w:pStyle w:val="61"/>
        <w:keepNext w:val="0"/>
        <w:keepLines w:val="0"/>
        <w:pageBreakBefore w:val="0"/>
        <w:kinsoku/>
        <w:wordWrap/>
        <w:overflowPunct/>
        <w:topLinePunct w:val="0"/>
        <w:autoSpaceDE/>
        <w:autoSpaceDN/>
        <w:bidi w:val="0"/>
        <w:adjustRightInd/>
        <w:snapToGrid/>
        <w:textAlignment w:val="auto"/>
        <w:rPr>
          <w:rFonts w:hint="eastAsia"/>
          <w:color w:val="auto"/>
          <w:highlight w:val="none"/>
          <w:lang w:val="en-US" w:eastAsia="zh-CN"/>
        </w:rPr>
      </w:pPr>
      <w:r>
        <w:rPr>
          <w:rFonts w:hint="eastAsia"/>
          <w:color w:val="auto"/>
          <w:highlight w:val="none"/>
          <w:lang w:val="en-US" w:eastAsia="zh-CN"/>
        </w:rPr>
        <w:t>（1）压裂层位及压裂井轨迹的确定。</w:t>
      </w:r>
    </w:p>
    <w:p>
      <w:pPr>
        <w:pStyle w:val="61"/>
        <w:keepNext w:val="0"/>
        <w:keepLines w:val="0"/>
        <w:pageBreakBefore w:val="0"/>
        <w:kinsoku/>
        <w:wordWrap/>
        <w:overflowPunct/>
        <w:topLinePunct w:val="0"/>
        <w:autoSpaceDE/>
        <w:autoSpaceDN/>
        <w:bidi w:val="0"/>
        <w:adjustRightInd/>
        <w:snapToGrid/>
        <w:textAlignment w:val="auto"/>
        <w:rPr>
          <w:rFonts w:hint="default"/>
          <w:color w:val="auto"/>
          <w:highlight w:val="none"/>
          <w:lang w:val="en-US" w:eastAsia="zh-CN"/>
        </w:rPr>
      </w:pPr>
      <w:r>
        <w:rPr>
          <w:rFonts w:hint="eastAsia"/>
          <w:color w:val="auto"/>
          <w:highlight w:val="none"/>
          <w:lang w:val="en-US" w:eastAsia="zh-CN"/>
        </w:rPr>
        <w:t>（2）压裂段数量、压裂方式、压裂参数以及压裂效果检验。</w:t>
      </w:r>
    </w:p>
    <w:p>
      <w:pPr>
        <w:pStyle w:val="61"/>
        <w:keepNext w:val="0"/>
        <w:keepLines w:val="0"/>
        <w:pageBreakBefore w:val="0"/>
        <w:kinsoku/>
        <w:wordWrap/>
        <w:overflowPunct/>
        <w:topLinePunct w:val="0"/>
        <w:autoSpaceDE/>
        <w:autoSpaceDN/>
        <w:bidi w:val="0"/>
        <w:adjustRightInd/>
        <w:snapToGrid/>
        <w:textAlignment w:val="auto"/>
        <w:rPr>
          <w:rFonts w:hint="eastAsia"/>
          <w:color w:val="auto"/>
          <w:highlight w:val="none"/>
          <w:lang w:val="en-US" w:eastAsia="zh-CN"/>
        </w:rPr>
      </w:pPr>
      <w:r>
        <w:rPr>
          <w:rFonts w:hint="eastAsia"/>
          <w:color w:val="auto"/>
          <w:highlight w:val="none"/>
          <w:lang w:val="en-US" w:eastAsia="zh-CN"/>
        </w:rPr>
        <w:t>（3）压裂设备选择、钻井情况工艺安排、场地布置等。</w:t>
      </w:r>
    </w:p>
    <w:p>
      <w:pPr>
        <w:rPr>
          <w:rFonts w:hint="default" w:eastAsia="黑体"/>
          <w:color w:val="auto"/>
          <w:lang w:val="en-US" w:eastAsia="zh-CN"/>
        </w:rPr>
        <w:sectPr>
          <w:footerReference r:id="rId5" w:type="default"/>
          <w:pgSz w:w="11906" w:h="16838"/>
          <w:pgMar w:top="1417" w:right="1417" w:bottom="1417" w:left="1417" w:header="851" w:footer="850" w:gutter="0"/>
          <w:pgBorders>
            <w:top w:val="none" w:sz="0" w:space="0"/>
            <w:left w:val="none" w:sz="0" w:space="0"/>
            <w:bottom w:val="none" w:sz="0" w:space="0"/>
            <w:right w:val="none" w:sz="0" w:space="0"/>
          </w:pgBorders>
          <w:pgNumType w:fmt="decimal" w:start="1"/>
          <w:cols w:space="425" w:num="1"/>
          <w:docGrid w:type="lines" w:linePitch="312" w:charSpace="0"/>
        </w:sectPr>
      </w:pPr>
      <w:bookmarkStart w:id="64" w:name="_Toc119518274"/>
      <w:bookmarkStart w:id="65" w:name="_Toc9744"/>
      <w:bookmarkStart w:id="66" w:name="_Toc5830"/>
      <w:bookmarkStart w:id="67" w:name="_Toc287713550"/>
      <w:bookmarkStart w:id="68" w:name="_Toc20996"/>
    </w:p>
    <w:p>
      <w:pPr>
        <w:pStyle w:val="3"/>
        <w:spacing w:before="120" w:after="120" w:line="560" w:lineRule="exact"/>
        <w:ind w:firstLine="200"/>
        <w:jc w:val="center"/>
        <w:rPr>
          <w:rFonts w:hint="eastAsia" w:ascii="黑体" w:eastAsia="黑体"/>
          <w:color w:val="auto"/>
          <w:sz w:val="30"/>
          <w:szCs w:val="30"/>
        </w:rPr>
      </w:pPr>
      <w:bookmarkStart w:id="69" w:name="_Toc24977"/>
      <w:r>
        <w:rPr>
          <w:rFonts w:hint="eastAsia" w:ascii="黑体" w:eastAsia="黑体"/>
          <w:color w:val="auto"/>
          <w:sz w:val="30"/>
          <w:szCs w:val="30"/>
        </w:rPr>
        <w:t xml:space="preserve">第一章  </w:t>
      </w:r>
      <w:r>
        <w:rPr>
          <w:rFonts w:hint="eastAsia" w:ascii="黑体" w:eastAsia="黑体"/>
          <w:color w:val="auto"/>
          <w:sz w:val="30"/>
          <w:szCs w:val="30"/>
          <w:lang w:val="en-US" w:eastAsia="zh-CN"/>
        </w:rPr>
        <w:t>井田</w:t>
      </w:r>
      <w:r>
        <w:rPr>
          <w:rFonts w:hint="eastAsia" w:ascii="黑体" w:eastAsia="黑体"/>
          <w:color w:val="auto"/>
          <w:sz w:val="30"/>
          <w:szCs w:val="30"/>
        </w:rPr>
        <w:t>概况及地质特征</w:t>
      </w:r>
      <w:bookmarkEnd w:id="64"/>
      <w:bookmarkEnd w:id="65"/>
      <w:bookmarkEnd w:id="66"/>
      <w:bookmarkEnd w:id="67"/>
      <w:bookmarkEnd w:id="68"/>
      <w:bookmarkEnd w:id="69"/>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70" w:name="_Toc5628"/>
      <w:bookmarkStart w:id="71" w:name="_Toc706"/>
      <w:bookmarkStart w:id="72" w:name="_Toc32337"/>
      <w:bookmarkStart w:id="73" w:name="_Toc23075"/>
      <w:bookmarkStart w:id="74" w:name="_Toc15106"/>
      <w:r>
        <w:rPr>
          <w:rFonts w:hint="eastAsia" w:ascii="黑体" w:hAnsi="黑体" w:eastAsia="黑体" w:cs="黑体"/>
          <w:b/>
          <w:bCs/>
          <w:color w:val="auto"/>
          <w:sz w:val="28"/>
          <w:szCs w:val="28"/>
          <w:lang w:val="en-US" w:eastAsia="zh-CN"/>
        </w:rPr>
        <w:t xml:space="preserve">第一节  </w:t>
      </w:r>
      <w:bookmarkEnd w:id="70"/>
      <w:bookmarkEnd w:id="71"/>
      <w:bookmarkEnd w:id="72"/>
      <w:bookmarkEnd w:id="73"/>
      <w:r>
        <w:rPr>
          <w:rFonts w:hint="eastAsia" w:ascii="黑体" w:hAnsi="黑体" w:eastAsia="黑体" w:cs="黑体"/>
          <w:b/>
          <w:bCs/>
          <w:color w:val="auto"/>
          <w:sz w:val="28"/>
          <w:szCs w:val="28"/>
          <w:lang w:val="en-US" w:eastAsia="zh-CN"/>
        </w:rPr>
        <w:t>井田</w:t>
      </w:r>
      <w:bookmarkEnd w:id="74"/>
      <w:r>
        <w:rPr>
          <w:rFonts w:hint="eastAsia" w:ascii="黑体" w:hAnsi="黑体" w:eastAsia="黑体" w:cs="黑体"/>
          <w:b/>
          <w:bCs/>
          <w:color w:val="auto"/>
          <w:sz w:val="28"/>
          <w:szCs w:val="28"/>
          <w:lang w:val="en-US" w:eastAsia="zh-CN"/>
        </w:rPr>
        <w:t>位置</w:t>
      </w:r>
    </w:p>
    <w:p>
      <w:pPr>
        <w:keepNext w:val="0"/>
        <w:keepLines w:val="0"/>
        <w:pageBreakBefore w:val="0"/>
        <w:widowControl w:val="0"/>
        <w:kinsoku/>
        <w:wordWrap/>
        <w:overflowPunct/>
        <w:topLinePunct w:val="0"/>
        <w:autoSpaceDE/>
        <w:autoSpaceDN/>
        <w:bidi w:val="0"/>
        <w:adjustRightInd/>
        <w:spacing w:line="560" w:lineRule="exact"/>
        <w:ind w:firstLine="482" w:firstLineChars="200"/>
        <w:outlineLvl w:val="9"/>
        <w:rPr>
          <w:rFonts w:hint="eastAsia"/>
          <w:b/>
          <w:color w:val="auto"/>
          <w:sz w:val="24"/>
        </w:rPr>
      </w:pPr>
      <w:bookmarkStart w:id="75" w:name="_Toc26934"/>
      <w:bookmarkStart w:id="76" w:name="_Toc29046"/>
      <w:bookmarkStart w:id="77" w:name="_Toc821"/>
      <w:bookmarkStart w:id="78" w:name="_Toc29139"/>
      <w:r>
        <w:rPr>
          <w:rFonts w:hint="eastAsia"/>
          <w:b/>
          <w:color w:val="auto"/>
          <w:sz w:val="24"/>
        </w:rPr>
        <w:t>一、</w:t>
      </w:r>
      <w:r>
        <w:rPr>
          <w:rFonts w:hint="eastAsia"/>
          <w:b/>
          <w:color w:val="auto"/>
          <w:sz w:val="24"/>
          <w:lang w:eastAsia="zh-CN"/>
        </w:rPr>
        <w:t>南翼井田</w:t>
      </w:r>
      <w:r>
        <w:rPr>
          <w:rFonts w:hint="eastAsia"/>
          <w:b/>
          <w:color w:val="auto"/>
          <w:sz w:val="24"/>
        </w:rPr>
        <w:t>境界及四邻关系</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ascii="宋体" w:hAnsi="宋体"/>
          <w:color w:val="auto"/>
          <w:sz w:val="24"/>
        </w:rPr>
      </w:pPr>
      <w:r>
        <w:rPr>
          <w:rFonts w:hint="eastAsia" w:ascii="宋体" w:hAnsi="宋体"/>
          <w:color w:val="auto"/>
          <w:sz w:val="24"/>
          <w:lang w:eastAsia="zh-CN"/>
        </w:rPr>
        <w:t>南翼井田</w:t>
      </w:r>
      <w:r>
        <w:rPr>
          <w:rFonts w:ascii="宋体" w:hAnsi="宋体"/>
          <w:color w:val="auto"/>
          <w:sz w:val="24"/>
        </w:rPr>
        <w:t>位于魏家地深部勘查区东北</w:t>
      </w:r>
      <w:r>
        <w:rPr>
          <w:rFonts w:ascii="宋体" w:hAnsi="宋体"/>
          <w:color w:val="auto"/>
          <w:sz w:val="24"/>
          <w:highlight w:val="none"/>
        </w:rPr>
        <w:t>部。</w:t>
      </w:r>
      <w:r>
        <w:rPr>
          <w:rFonts w:hint="eastAsia" w:ascii="宋体" w:hAnsi="宋体"/>
          <w:color w:val="auto"/>
          <w:sz w:val="24"/>
          <w:lang w:eastAsia="zh-CN"/>
        </w:rPr>
        <w:t>南翼井田</w:t>
      </w:r>
      <w:r>
        <w:rPr>
          <w:rFonts w:ascii="宋体" w:hAnsi="宋体"/>
          <w:color w:val="auto"/>
          <w:sz w:val="24"/>
        </w:rPr>
        <w:t>地理坐标：东经105°0</w:t>
      </w:r>
      <w:r>
        <w:rPr>
          <w:rFonts w:hint="eastAsia" w:ascii="宋体" w:hAnsi="宋体"/>
          <w:color w:val="auto"/>
          <w:sz w:val="24"/>
        </w:rPr>
        <w:t>1</w:t>
      </w:r>
      <w:r>
        <w:rPr>
          <w:rFonts w:ascii="宋体" w:hAnsi="宋体"/>
          <w:color w:val="auto"/>
          <w:sz w:val="24"/>
        </w:rPr>
        <w:t>′</w:t>
      </w:r>
      <w:r>
        <w:rPr>
          <w:rFonts w:hint="eastAsia" w:ascii="宋体" w:hAnsi="宋体"/>
          <w:color w:val="auto"/>
          <w:sz w:val="24"/>
        </w:rPr>
        <w:t>31</w:t>
      </w:r>
      <w:r>
        <w:rPr>
          <w:rFonts w:ascii="宋体" w:hAnsi="宋体"/>
          <w:color w:val="auto"/>
          <w:sz w:val="24"/>
        </w:rPr>
        <w:t>″～105°0</w:t>
      </w:r>
      <w:r>
        <w:rPr>
          <w:rFonts w:hint="eastAsia" w:ascii="宋体" w:hAnsi="宋体"/>
          <w:color w:val="auto"/>
          <w:sz w:val="24"/>
        </w:rPr>
        <w:t>4</w:t>
      </w:r>
      <w:r>
        <w:rPr>
          <w:rFonts w:ascii="宋体" w:hAnsi="宋体"/>
          <w:color w:val="auto"/>
          <w:sz w:val="24"/>
        </w:rPr>
        <w:t>′</w:t>
      </w:r>
      <w:r>
        <w:rPr>
          <w:rFonts w:hint="eastAsia" w:ascii="宋体" w:hAnsi="宋体"/>
          <w:color w:val="auto"/>
          <w:sz w:val="24"/>
        </w:rPr>
        <w:t>23</w:t>
      </w:r>
      <w:r>
        <w:rPr>
          <w:rFonts w:ascii="宋体" w:hAnsi="宋体"/>
          <w:color w:val="auto"/>
          <w:sz w:val="24"/>
        </w:rPr>
        <w:t>″；北纬36°38′</w:t>
      </w:r>
      <w:r>
        <w:rPr>
          <w:rFonts w:hint="eastAsia" w:ascii="宋体" w:hAnsi="宋体"/>
          <w:color w:val="auto"/>
          <w:sz w:val="24"/>
        </w:rPr>
        <w:t>35</w:t>
      </w:r>
      <w:r>
        <w:rPr>
          <w:rFonts w:ascii="宋体" w:hAnsi="宋体"/>
          <w:color w:val="auto"/>
          <w:sz w:val="24"/>
        </w:rPr>
        <w:t>″～36°</w:t>
      </w:r>
      <w:r>
        <w:rPr>
          <w:rFonts w:hint="eastAsia" w:ascii="宋体" w:hAnsi="宋体"/>
          <w:color w:val="auto"/>
          <w:sz w:val="24"/>
        </w:rPr>
        <w:t>41</w:t>
      </w:r>
      <w:r>
        <w:rPr>
          <w:rFonts w:ascii="宋体" w:hAnsi="宋体"/>
          <w:color w:val="auto"/>
          <w:sz w:val="24"/>
        </w:rPr>
        <w:t>′</w:t>
      </w:r>
      <w:r>
        <w:rPr>
          <w:rFonts w:hint="eastAsia" w:ascii="宋体" w:hAnsi="宋体"/>
          <w:color w:val="auto"/>
          <w:sz w:val="24"/>
        </w:rPr>
        <w:t>53</w:t>
      </w:r>
      <w:r>
        <w:rPr>
          <w:rFonts w:ascii="宋体" w:hAnsi="宋体"/>
          <w:color w:val="auto"/>
          <w:sz w:val="24"/>
        </w:rPr>
        <w:t>″。其</w:t>
      </w:r>
      <w:r>
        <w:rPr>
          <w:rFonts w:hint="eastAsia" w:ascii="宋体" w:hAnsi="宋体"/>
          <w:color w:val="auto"/>
          <w:sz w:val="24"/>
          <w:lang w:val="en-US" w:eastAsia="zh-CN"/>
        </w:rPr>
        <w:t>含煤</w:t>
      </w:r>
      <w:r>
        <w:rPr>
          <w:rFonts w:hint="eastAsia" w:ascii="宋体" w:hAnsi="宋体"/>
          <w:color w:val="auto"/>
          <w:sz w:val="24"/>
        </w:rPr>
        <w:t>范围</w:t>
      </w:r>
      <w:r>
        <w:rPr>
          <w:rFonts w:hint="eastAsia" w:ascii="宋体" w:hAnsi="宋体"/>
          <w:color w:val="auto"/>
          <w:sz w:val="24"/>
          <w:lang w:val="en-US" w:eastAsia="zh-CN"/>
        </w:rPr>
        <w:t>位于</w:t>
      </w:r>
      <w:r>
        <w:rPr>
          <w:rFonts w:ascii="宋体" w:hAnsi="宋体"/>
          <w:color w:val="auto"/>
          <w:sz w:val="24"/>
        </w:rPr>
        <w:t>F</w:t>
      </w:r>
      <w:r>
        <w:rPr>
          <w:rFonts w:ascii="宋体" w:hAnsi="宋体"/>
          <w:color w:val="auto"/>
          <w:sz w:val="24"/>
          <w:vertAlign w:val="subscript"/>
        </w:rPr>
        <w:t>1h</w:t>
      </w:r>
      <w:r>
        <w:rPr>
          <w:rFonts w:hint="eastAsia" w:ascii="宋体" w:hAnsi="宋体"/>
          <w:color w:val="auto"/>
          <w:sz w:val="24"/>
        </w:rPr>
        <w:t>断层和</w:t>
      </w:r>
      <w:r>
        <w:rPr>
          <w:rFonts w:ascii="宋体" w:hAnsi="宋体"/>
          <w:color w:val="auto"/>
          <w:sz w:val="24"/>
        </w:rPr>
        <w:t>D</w:t>
      </w:r>
      <w:r>
        <w:rPr>
          <w:rFonts w:ascii="宋体" w:hAnsi="宋体"/>
          <w:color w:val="auto"/>
          <w:sz w:val="24"/>
          <w:vertAlign w:val="subscript"/>
        </w:rPr>
        <w:t>F1</w:t>
      </w:r>
      <w:r>
        <w:rPr>
          <w:rFonts w:hint="eastAsia" w:ascii="宋体" w:hAnsi="宋体"/>
          <w:color w:val="auto"/>
          <w:sz w:val="24"/>
        </w:rPr>
        <w:t>断层之间，</w:t>
      </w:r>
      <w:r>
        <w:rPr>
          <w:rFonts w:ascii="宋体" w:hAnsi="宋体"/>
          <w:color w:val="auto"/>
          <w:sz w:val="24"/>
        </w:rPr>
        <w:t>西起</w:t>
      </w:r>
      <w:r>
        <w:rPr>
          <w:rFonts w:hint="eastAsia" w:ascii="宋体" w:hAnsi="宋体"/>
          <w:color w:val="auto"/>
          <w:sz w:val="24"/>
          <w:lang w:val="en-US" w:eastAsia="zh-CN"/>
        </w:rPr>
        <w:t>F</w:t>
      </w:r>
      <w:r>
        <w:rPr>
          <w:rFonts w:hint="eastAsia" w:ascii="宋体" w:hAnsi="宋体"/>
          <w:color w:val="auto"/>
          <w:sz w:val="24"/>
          <w:vertAlign w:val="subscript"/>
          <w:lang w:val="en-US" w:eastAsia="zh-CN"/>
        </w:rPr>
        <w:t>1h</w:t>
      </w:r>
      <w:r>
        <w:rPr>
          <w:rFonts w:hint="eastAsia" w:ascii="宋体" w:hAnsi="宋体"/>
          <w:color w:val="auto"/>
          <w:sz w:val="24"/>
          <w:lang w:val="en-US" w:eastAsia="zh-CN"/>
        </w:rPr>
        <w:t>断层与F</w:t>
      </w:r>
      <w:r>
        <w:rPr>
          <w:rFonts w:hint="eastAsia" w:ascii="宋体" w:hAnsi="宋体"/>
          <w:color w:val="auto"/>
          <w:sz w:val="24"/>
          <w:vertAlign w:val="subscript"/>
          <w:lang w:val="en-US" w:eastAsia="zh-CN"/>
        </w:rPr>
        <w:t>2-1</w:t>
      </w:r>
      <w:r>
        <w:rPr>
          <w:rFonts w:hint="eastAsia" w:ascii="宋体" w:hAnsi="宋体"/>
          <w:color w:val="auto"/>
          <w:sz w:val="24"/>
          <w:lang w:val="en-US" w:eastAsia="zh-CN"/>
        </w:rPr>
        <w:t>断层交界处</w:t>
      </w:r>
      <w:r>
        <w:rPr>
          <w:rFonts w:ascii="宋体" w:hAnsi="宋体"/>
          <w:color w:val="auto"/>
          <w:sz w:val="24"/>
        </w:rPr>
        <w:t>，东到</w:t>
      </w:r>
      <w:r>
        <w:rPr>
          <w:rFonts w:hint="eastAsia" w:ascii="宋体" w:hAnsi="宋体"/>
          <w:color w:val="auto"/>
          <w:sz w:val="24"/>
        </w:rPr>
        <w:t>探矿权边界</w:t>
      </w:r>
      <w:r>
        <w:rPr>
          <w:rFonts w:ascii="宋体" w:hAnsi="宋体"/>
          <w:color w:val="auto"/>
          <w:sz w:val="24"/>
        </w:rPr>
        <w:t>，北</w:t>
      </w:r>
      <w:r>
        <w:rPr>
          <w:rFonts w:hint="eastAsia" w:ascii="宋体" w:hAnsi="宋体" w:eastAsia="宋体" w:cs="宋体"/>
          <w:color w:val="auto"/>
          <w:sz w:val="24"/>
          <w:szCs w:val="20"/>
          <w:highlight w:val="none"/>
          <w:lang w:val="en-US" w:eastAsia="zh-CN"/>
        </w:rPr>
        <w:t>以白银会通煤业有限责任公司、白银市平川区宏达煤矿为界（</w:t>
      </w:r>
      <w:r>
        <w:rPr>
          <w:rFonts w:ascii="宋体" w:hAnsi="宋体"/>
          <w:color w:val="auto"/>
          <w:sz w:val="24"/>
        </w:rPr>
        <w:t>F</w:t>
      </w:r>
      <w:r>
        <w:rPr>
          <w:rFonts w:ascii="宋体" w:hAnsi="宋体"/>
          <w:color w:val="auto"/>
          <w:sz w:val="24"/>
          <w:vertAlign w:val="subscript"/>
        </w:rPr>
        <w:t>1h</w:t>
      </w:r>
      <w:r>
        <w:rPr>
          <w:rFonts w:hint="eastAsia" w:ascii="宋体" w:hAnsi="宋体"/>
          <w:color w:val="auto"/>
          <w:sz w:val="24"/>
        </w:rPr>
        <w:t>断层一层煤</w:t>
      </w:r>
      <w:r>
        <w:rPr>
          <w:rFonts w:ascii="宋体" w:hAnsi="宋体"/>
          <w:color w:val="auto"/>
          <w:sz w:val="24"/>
        </w:rPr>
        <w:t>下盘断煤交线</w:t>
      </w:r>
      <w:r>
        <w:rPr>
          <w:rFonts w:hint="eastAsia" w:ascii="宋体" w:hAnsi="宋体" w:eastAsia="宋体" w:cs="宋体"/>
          <w:color w:val="auto"/>
          <w:sz w:val="24"/>
          <w:szCs w:val="20"/>
          <w:highlight w:val="none"/>
          <w:lang w:val="en-US" w:eastAsia="zh-CN"/>
        </w:rPr>
        <w:t>）</w:t>
      </w:r>
      <w:r>
        <w:rPr>
          <w:rFonts w:ascii="宋体" w:hAnsi="宋体"/>
          <w:color w:val="auto"/>
          <w:sz w:val="24"/>
        </w:rPr>
        <w:t>，南至F</w:t>
      </w:r>
      <w:r>
        <w:rPr>
          <w:rFonts w:ascii="宋体" w:hAnsi="宋体"/>
          <w:color w:val="auto"/>
          <w:sz w:val="24"/>
          <w:vertAlign w:val="subscript"/>
        </w:rPr>
        <w:t>1h</w:t>
      </w:r>
      <w:r>
        <w:rPr>
          <w:rFonts w:ascii="宋体" w:hAnsi="宋体"/>
          <w:color w:val="auto"/>
          <w:sz w:val="24"/>
        </w:rPr>
        <w:t>断层</w:t>
      </w:r>
      <w:r>
        <w:rPr>
          <w:rFonts w:hint="eastAsia" w:ascii="宋体" w:hAnsi="宋体"/>
          <w:color w:val="auto"/>
          <w:sz w:val="24"/>
        </w:rPr>
        <w:t>以南200</w:t>
      </w:r>
      <w:r>
        <w:rPr>
          <w:rFonts w:ascii="宋体" w:hAnsi="宋体"/>
          <w:color w:val="auto"/>
          <w:sz w:val="24"/>
        </w:rPr>
        <w:t>～</w:t>
      </w:r>
      <w:r>
        <w:rPr>
          <w:rFonts w:hint="eastAsia" w:ascii="宋体" w:hAnsi="宋体"/>
          <w:color w:val="auto"/>
          <w:sz w:val="24"/>
        </w:rPr>
        <w:t>410m</w:t>
      </w:r>
      <w:r>
        <w:rPr>
          <w:rFonts w:ascii="宋体" w:hAnsi="宋体"/>
          <w:color w:val="auto"/>
          <w:sz w:val="24"/>
        </w:rPr>
        <w:t>。东西最长</w:t>
      </w:r>
      <w:r>
        <w:rPr>
          <w:rFonts w:hint="eastAsia" w:ascii="宋体" w:hAnsi="宋体"/>
          <w:color w:val="auto"/>
          <w:sz w:val="24"/>
        </w:rPr>
        <w:t>4</w:t>
      </w:r>
      <w:r>
        <w:rPr>
          <w:rFonts w:ascii="宋体" w:hAnsi="宋体"/>
          <w:color w:val="auto"/>
          <w:sz w:val="24"/>
        </w:rPr>
        <w:t>km，南北最宽</w:t>
      </w:r>
      <w:r>
        <w:rPr>
          <w:rFonts w:hint="eastAsia" w:ascii="宋体" w:hAnsi="宋体"/>
          <w:color w:val="auto"/>
          <w:sz w:val="24"/>
        </w:rPr>
        <w:t>约1.2</w:t>
      </w:r>
      <w:r>
        <w:rPr>
          <w:rFonts w:ascii="宋体" w:hAnsi="宋体"/>
          <w:color w:val="auto"/>
          <w:sz w:val="24"/>
        </w:rPr>
        <w:t>km，面积</w:t>
      </w:r>
      <w:r>
        <w:rPr>
          <w:rFonts w:hint="eastAsia" w:ascii="宋体" w:hAnsi="宋体"/>
          <w:color w:val="auto"/>
          <w:sz w:val="24"/>
        </w:rPr>
        <w:t>2.72</w:t>
      </w:r>
      <w:r>
        <w:rPr>
          <w:rFonts w:ascii="宋体" w:hAnsi="宋体"/>
          <w:color w:val="auto"/>
          <w:sz w:val="24"/>
        </w:rPr>
        <w:t>km</w:t>
      </w:r>
      <w:r>
        <w:rPr>
          <w:rFonts w:ascii="宋体" w:hAnsi="宋体"/>
          <w:color w:val="auto"/>
          <w:sz w:val="24"/>
          <w:vertAlign w:val="superscript"/>
        </w:rPr>
        <w:t>2</w:t>
      </w:r>
      <w:r>
        <w:rPr>
          <w:rFonts w:ascii="宋体" w:hAnsi="宋体"/>
          <w:color w:val="auto"/>
          <w:sz w:val="24"/>
        </w:rPr>
        <w:t>。</w:t>
      </w:r>
    </w:p>
    <w:p>
      <w:pPr>
        <w:keepNext w:val="0"/>
        <w:keepLines w:val="0"/>
        <w:pageBreakBefore w:val="0"/>
        <w:widowControl w:val="0"/>
        <w:tabs>
          <w:tab w:val="left" w:pos="0"/>
        </w:tabs>
        <w:kinsoku/>
        <w:wordWrap/>
        <w:overflowPunct/>
        <w:topLinePunct w:val="0"/>
        <w:autoSpaceDE/>
        <w:autoSpaceDN/>
        <w:bidi w:val="0"/>
        <w:adjustRightInd/>
        <w:spacing w:line="560" w:lineRule="exact"/>
        <w:ind w:firstLine="482" w:firstLineChars="200"/>
        <w:textAlignment w:val="auto"/>
        <w:outlineLvl w:val="9"/>
        <w:rPr>
          <w:rFonts w:hint="eastAsia" w:ascii="宋体" w:hAnsi="宋体" w:cs="宋体"/>
          <w:b/>
          <w:bCs/>
          <w:color w:val="auto"/>
          <w:sz w:val="24"/>
          <w:szCs w:val="20"/>
          <w:lang w:val="en-US" w:eastAsia="zh-CN"/>
        </w:rPr>
      </w:pPr>
      <w:r>
        <w:rPr>
          <w:rFonts w:hint="eastAsia" w:ascii="宋体" w:hAnsi="宋体" w:cs="宋体"/>
          <w:b/>
          <w:bCs/>
          <w:color w:val="auto"/>
          <w:sz w:val="24"/>
          <w:szCs w:val="20"/>
          <w:lang w:val="en-US" w:eastAsia="zh-CN"/>
        </w:rPr>
        <w:t>二、南翼井田采煤方法</w:t>
      </w:r>
    </w:p>
    <w:p>
      <w:pPr>
        <w:pStyle w:val="36"/>
        <w:keepNext w:val="0"/>
        <w:keepLines w:val="0"/>
        <w:pageBreakBefore w:val="0"/>
        <w:widowControl w:val="0"/>
        <w:tabs>
          <w:tab w:val="left" w:pos="4620"/>
        </w:tabs>
        <w:kinsoku/>
        <w:wordWrap/>
        <w:overflowPunct/>
        <w:topLinePunct w:val="0"/>
        <w:autoSpaceDE/>
        <w:autoSpaceDN/>
        <w:bidi w:val="0"/>
        <w:adjustRightInd/>
        <w:snapToGrid w:val="0"/>
        <w:spacing w:before="0" w:beforeLines="0" w:after="0" w:afterLines="0" w:line="560" w:lineRule="exact"/>
        <w:textAlignment w:val="auto"/>
        <w:outlineLvl w:val="9"/>
        <w:rPr>
          <w:rFonts w:hint="eastAsia" w:ascii="宋体" w:hAnsi="宋体" w:eastAsia="宋体" w:cs="Times New Roman"/>
          <w:b w:val="0"/>
          <w:color w:val="auto"/>
          <w:kern w:val="2"/>
          <w:sz w:val="24"/>
          <w:szCs w:val="24"/>
          <w:lang w:val="en-US" w:eastAsia="zh-CN" w:bidi="ar-SA"/>
        </w:rPr>
      </w:pPr>
      <w:r>
        <w:rPr>
          <w:rFonts w:hint="eastAsia" w:cs="Times New Roman"/>
          <w:b w:val="0"/>
          <w:color w:val="auto"/>
          <w:kern w:val="2"/>
          <w:sz w:val="24"/>
          <w:szCs w:val="24"/>
          <w:lang w:val="en-US" w:eastAsia="zh-CN" w:bidi="ar-SA"/>
        </w:rPr>
        <w:t>南翼井田</w:t>
      </w:r>
      <w:r>
        <w:rPr>
          <w:rFonts w:hint="eastAsia" w:ascii="宋体" w:hAnsi="宋体" w:eastAsia="宋体" w:cs="Times New Roman"/>
          <w:b w:val="0"/>
          <w:color w:val="auto"/>
          <w:kern w:val="2"/>
          <w:sz w:val="24"/>
          <w:szCs w:val="24"/>
          <w:lang w:val="en-US" w:eastAsia="zh-CN" w:bidi="ar-SA"/>
        </w:rPr>
        <w:t>煤层倾角在25～75°之间，煤层厚度1.92～45.58m，一般14～36m，平均厚度25m，赋存比较复杂，厚度变化较大，采煤方法为水平分段放顶煤开采。</w:t>
      </w: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eastAsia" w:ascii="黑体" w:hAnsi="黑体" w:eastAsia="黑体" w:cs="黑体"/>
          <w:b/>
          <w:bCs/>
          <w:color w:val="auto"/>
          <w:sz w:val="28"/>
          <w:szCs w:val="28"/>
          <w:lang w:val="en-US" w:eastAsia="zh-CN"/>
        </w:rPr>
      </w:pPr>
      <w:bookmarkStart w:id="79" w:name="_Toc23203"/>
      <w:r>
        <w:rPr>
          <w:rFonts w:hint="eastAsia" w:ascii="黑体" w:hAnsi="黑体" w:eastAsia="黑体" w:cs="黑体"/>
          <w:b/>
          <w:bCs/>
          <w:color w:val="auto"/>
          <w:sz w:val="28"/>
          <w:szCs w:val="28"/>
          <w:lang w:val="en-US" w:eastAsia="zh-CN"/>
        </w:rPr>
        <w:t xml:space="preserve">第二节  </w:t>
      </w:r>
      <w:bookmarkEnd w:id="75"/>
      <w:bookmarkEnd w:id="76"/>
      <w:bookmarkEnd w:id="77"/>
      <w:bookmarkEnd w:id="78"/>
      <w:r>
        <w:rPr>
          <w:rFonts w:hint="eastAsia" w:ascii="黑体" w:hAnsi="黑体" w:eastAsia="黑体" w:cs="黑体"/>
          <w:b/>
          <w:bCs/>
          <w:color w:val="auto"/>
          <w:sz w:val="28"/>
          <w:szCs w:val="28"/>
          <w:lang w:val="en-US" w:eastAsia="zh-CN"/>
        </w:rPr>
        <w:t>地质条件</w:t>
      </w:r>
      <w:bookmarkEnd w:id="79"/>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outlineLvl w:val="9"/>
        <w:rPr>
          <w:rFonts w:hint="eastAsia"/>
          <w:b/>
          <w:color w:val="auto"/>
          <w:sz w:val="24"/>
        </w:rPr>
      </w:pPr>
      <w:r>
        <w:rPr>
          <w:rFonts w:hint="eastAsia"/>
          <w:b/>
          <w:color w:val="auto"/>
          <w:sz w:val="24"/>
          <w:lang w:val="en-US" w:eastAsia="zh-CN"/>
        </w:rPr>
        <w:t>一、</w:t>
      </w:r>
      <w:r>
        <w:rPr>
          <w:rFonts w:hint="eastAsia"/>
          <w:b/>
          <w:color w:val="auto"/>
          <w:sz w:val="24"/>
        </w:rPr>
        <w:t>地层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区域内</w:t>
      </w:r>
      <w:r>
        <w:rPr>
          <w:rFonts w:ascii="宋体" w:hAnsi="宋体"/>
          <w:color w:val="auto"/>
          <w:sz w:val="24"/>
        </w:rPr>
        <w:t>大部分被第四系地层所覆盖，无煤系地层和煤层出露。</w:t>
      </w:r>
      <w:r>
        <w:rPr>
          <w:rFonts w:hint="eastAsia" w:ascii="宋体" w:hAnsi="宋体"/>
          <w:color w:val="auto"/>
          <w:sz w:val="24"/>
        </w:rPr>
        <w:t>主要发育</w:t>
      </w:r>
      <w:r>
        <w:rPr>
          <w:rFonts w:ascii="宋体" w:hAnsi="宋体"/>
          <w:color w:val="auto"/>
          <w:sz w:val="24"/>
        </w:rPr>
        <w:t>有古生界中下奥陶统阴沟群、中生界上三迭统南营儿群、中侏罗统窑街组及新河组、上侏罗统苦水峡组、下白垩统河口群和新生界第四系。缺失中下三迭统和下侏罗统地层。分述如下：</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1.</w:t>
      </w:r>
      <w:r>
        <w:rPr>
          <w:rFonts w:ascii="宋体" w:hAnsi="宋体"/>
          <w:color w:val="auto"/>
          <w:sz w:val="24"/>
        </w:rPr>
        <w:t>中下奥陶统阴沟群（</w:t>
      </w:r>
      <w:r>
        <w:rPr>
          <w:rFonts w:hint="default" w:ascii="Times New Roman" w:hAnsi="Times New Roman" w:cs="Times New Roman"/>
          <w:color w:val="auto"/>
          <w:sz w:val="24"/>
        </w:rPr>
        <w:t>O</w:t>
      </w:r>
      <w:r>
        <w:rPr>
          <w:rFonts w:hint="default" w:ascii="Times New Roman" w:hAnsi="Times New Roman" w:cs="Times New Roman"/>
          <w:i/>
          <w:iCs/>
          <w:color w:val="auto"/>
          <w:sz w:val="24"/>
          <w:vertAlign w:val="subscript"/>
        </w:rPr>
        <w:t>1－2yg</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分布于</w:t>
      </w:r>
      <w:r>
        <w:rPr>
          <w:rFonts w:hint="eastAsia" w:ascii="宋体" w:hAnsi="宋体"/>
          <w:color w:val="auto"/>
          <w:sz w:val="24"/>
        </w:rPr>
        <w:t>采</w:t>
      </w:r>
      <w:r>
        <w:rPr>
          <w:rFonts w:ascii="宋体" w:hAnsi="宋体"/>
          <w:color w:val="auto"/>
          <w:sz w:val="24"/>
        </w:rPr>
        <w:t>区东部及东南部，</w:t>
      </w:r>
      <w:r>
        <w:rPr>
          <w:rFonts w:hint="eastAsia" w:ascii="宋体" w:hAnsi="宋体"/>
          <w:color w:val="auto"/>
          <w:sz w:val="24"/>
        </w:rPr>
        <w:t>在</w:t>
      </w:r>
      <w:r>
        <w:rPr>
          <w:rFonts w:ascii="宋体" w:hAnsi="宋体"/>
          <w:color w:val="auto"/>
          <w:sz w:val="24"/>
        </w:rPr>
        <w:t>勘查区东部</w:t>
      </w:r>
      <w:r>
        <w:rPr>
          <w:rFonts w:hint="eastAsia" w:ascii="宋体" w:hAnsi="宋体"/>
          <w:color w:val="auto"/>
          <w:sz w:val="24"/>
        </w:rPr>
        <w:t>煤系地层超覆于其上，形成</w:t>
      </w:r>
      <w:r>
        <w:rPr>
          <w:rFonts w:ascii="宋体" w:hAnsi="宋体"/>
          <w:color w:val="auto"/>
          <w:sz w:val="24"/>
        </w:rPr>
        <w:t>含煤岩系的基底。岩性为灰绿色、暗黄绿色中、细粒变质砂岩，深灰绿色板岩，局部可见波状及水平层理。</w:t>
      </w:r>
      <w:r>
        <w:rPr>
          <w:rFonts w:hint="eastAsia" w:ascii="宋体" w:hAnsi="宋体"/>
          <w:color w:val="auto"/>
          <w:sz w:val="24"/>
          <w:szCs w:val="24"/>
        </w:rPr>
        <w:t>钻</w:t>
      </w:r>
      <w:r>
        <w:rPr>
          <w:rFonts w:hint="eastAsia"/>
          <w:color w:val="auto"/>
          <w:sz w:val="24"/>
          <w:szCs w:val="24"/>
          <w:lang w:val="en-US" w:eastAsia="zh-CN"/>
        </w:rPr>
        <w:t>孔</w:t>
      </w:r>
      <w:r>
        <w:rPr>
          <w:rFonts w:hint="eastAsia" w:ascii="宋体" w:hAnsi="宋体"/>
          <w:color w:val="auto"/>
          <w:sz w:val="24"/>
        </w:rPr>
        <w:t>揭露</w:t>
      </w:r>
      <w:r>
        <w:rPr>
          <w:rFonts w:ascii="宋体" w:hAnsi="宋体"/>
          <w:color w:val="auto"/>
          <w:sz w:val="24"/>
        </w:rPr>
        <w:t>的最小厚度为3.67m，最大厚度89.26m，平均厚41.55m。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2.</w:t>
      </w:r>
      <w:r>
        <w:rPr>
          <w:rFonts w:ascii="宋体" w:hAnsi="宋体"/>
          <w:color w:val="auto"/>
          <w:sz w:val="24"/>
        </w:rPr>
        <w:t>上三迭统南营儿群（</w:t>
      </w:r>
      <w:r>
        <w:rPr>
          <w:rFonts w:hint="default" w:ascii="Times New Roman" w:hAnsi="Times New Roman" w:cs="Times New Roman"/>
          <w:color w:val="auto"/>
          <w:sz w:val="24"/>
        </w:rPr>
        <w:t>T</w:t>
      </w:r>
      <w:r>
        <w:rPr>
          <w:rFonts w:hint="default" w:ascii="Times New Roman" w:hAnsi="Times New Roman" w:cs="Times New Roman"/>
          <w:i/>
          <w:iCs/>
          <w:color w:val="auto"/>
          <w:sz w:val="24"/>
          <w:vertAlign w:val="subscript"/>
        </w:rPr>
        <w:t>3n</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区内发育不全，岩性上部为灰绿色、灰黄绿色中粒砂岩</w:t>
      </w:r>
      <w:r>
        <w:rPr>
          <w:rFonts w:hint="eastAsia" w:ascii="宋体" w:hAnsi="宋体"/>
          <w:color w:val="auto"/>
          <w:sz w:val="24"/>
        </w:rPr>
        <w:t>，</w:t>
      </w:r>
      <w:r>
        <w:rPr>
          <w:rFonts w:ascii="宋体" w:hAnsi="宋体"/>
          <w:color w:val="auto"/>
          <w:sz w:val="24"/>
        </w:rPr>
        <w:t>灰白色粗粒砂岩及细砾岩；中部</w:t>
      </w:r>
      <w:r>
        <w:rPr>
          <w:rFonts w:hint="eastAsia" w:ascii="宋体" w:hAnsi="宋体"/>
          <w:color w:val="auto"/>
          <w:sz w:val="24"/>
        </w:rPr>
        <w:t>以</w:t>
      </w:r>
      <w:r>
        <w:rPr>
          <w:rFonts w:ascii="宋体" w:hAnsi="宋体"/>
          <w:color w:val="auto"/>
          <w:sz w:val="24"/>
        </w:rPr>
        <w:t>灰绿色、紫红色粉砂岩</w:t>
      </w:r>
      <w:r>
        <w:rPr>
          <w:rFonts w:hint="eastAsia" w:ascii="宋体" w:hAnsi="宋体"/>
          <w:color w:val="auto"/>
          <w:sz w:val="24"/>
        </w:rPr>
        <w:t>为主</w:t>
      </w:r>
      <w:r>
        <w:rPr>
          <w:rFonts w:ascii="宋体" w:hAnsi="宋体"/>
          <w:color w:val="auto"/>
          <w:sz w:val="24"/>
        </w:rPr>
        <w:t>，</w:t>
      </w:r>
      <w:r>
        <w:rPr>
          <w:rFonts w:hint="eastAsia" w:ascii="宋体" w:hAnsi="宋体"/>
          <w:color w:val="auto"/>
          <w:sz w:val="24"/>
        </w:rPr>
        <w:t>局部可见</w:t>
      </w:r>
      <w:r>
        <w:rPr>
          <w:rFonts w:ascii="宋体" w:hAnsi="宋体"/>
          <w:color w:val="auto"/>
          <w:sz w:val="24"/>
        </w:rPr>
        <w:t>砂质泥岩、细粒砂岩薄层，中夹橄榄绿色硅质岩、砖红色凝灰质细砂岩；下部</w:t>
      </w:r>
      <w:r>
        <w:rPr>
          <w:rFonts w:hint="eastAsia" w:ascii="宋体" w:hAnsi="宋体"/>
          <w:color w:val="auto"/>
          <w:sz w:val="24"/>
        </w:rPr>
        <w:t>以</w:t>
      </w:r>
      <w:r>
        <w:rPr>
          <w:rFonts w:ascii="宋体" w:hAnsi="宋体"/>
          <w:color w:val="auto"/>
          <w:sz w:val="24"/>
        </w:rPr>
        <w:t>灰绿色中～粗粒砂岩</w:t>
      </w:r>
      <w:r>
        <w:rPr>
          <w:rFonts w:hint="eastAsia" w:ascii="宋体" w:hAnsi="宋体"/>
          <w:color w:val="auto"/>
          <w:sz w:val="24"/>
        </w:rPr>
        <w:t>为主</w:t>
      </w:r>
      <w:r>
        <w:rPr>
          <w:rFonts w:ascii="宋体" w:hAnsi="宋体"/>
          <w:color w:val="auto"/>
          <w:sz w:val="24"/>
        </w:rPr>
        <w:t>，</w:t>
      </w:r>
      <w:r>
        <w:rPr>
          <w:rFonts w:hint="eastAsia" w:ascii="宋体" w:hAnsi="宋体"/>
          <w:color w:val="auto"/>
          <w:sz w:val="24"/>
        </w:rPr>
        <w:t>局部</w:t>
      </w:r>
      <w:r>
        <w:rPr>
          <w:rFonts w:ascii="宋体" w:hAnsi="宋体"/>
          <w:color w:val="auto"/>
          <w:sz w:val="24"/>
        </w:rPr>
        <w:t>底部</w:t>
      </w:r>
      <w:r>
        <w:rPr>
          <w:rFonts w:hint="eastAsia" w:ascii="宋体" w:hAnsi="宋体"/>
          <w:color w:val="auto"/>
          <w:sz w:val="24"/>
        </w:rPr>
        <w:t>有</w:t>
      </w:r>
      <w:r>
        <w:rPr>
          <w:rFonts w:ascii="宋体" w:hAnsi="宋体"/>
          <w:color w:val="auto"/>
          <w:sz w:val="24"/>
        </w:rPr>
        <w:t>紫红色砾岩、含砾粉砂岩。为勘查区中、西含煤岩系的基底</w:t>
      </w:r>
      <w:r>
        <w:rPr>
          <w:rFonts w:hint="eastAsia" w:ascii="宋体" w:hAnsi="宋体"/>
          <w:color w:val="auto"/>
          <w:sz w:val="24"/>
        </w:rPr>
        <w:t>，</w:t>
      </w:r>
      <w:r>
        <w:rPr>
          <w:rFonts w:ascii="宋体" w:hAnsi="宋体"/>
          <w:color w:val="auto"/>
          <w:sz w:val="24"/>
        </w:rPr>
        <w:t>与下伏地层呈不整合接触。</w:t>
      </w:r>
      <w:r>
        <w:rPr>
          <w:rFonts w:hint="eastAsia" w:ascii="宋体" w:hAnsi="宋体"/>
          <w:color w:val="auto"/>
          <w:sz w:val="24"/>
          <w:szCs w:val="24"/>
        </w:rPr>
        <w:t>钻</w:t>
      </w:r>
      <w:r>
        <w:rPr>
          <w:rFonts w:hint="eastAsia"/>
          <w:color w:val="auto"/>
          <w:sz w:val="24"/>
          <w:szCs w:val="24"/>
          <w:lang w:val="en-US" w:eastAsia="zh-CN"/>
        </w:rPr>
        <w:t>孔</w:t>
      </w:r>
      <w:r>
        <w:rPr>
          <w:rFonts w:ascii="宋体" w:hAnsi="宋体"/>
          <w:color w:val="auto"/>
          <w:sz w:val="24"/>
          <w:szCs w:val="24"/>
        </w:rPr>
        <w:t>揭</w:t>
      </w:r>
      <w:r>
        <w:rPr>
          <w:rFonts w:ascii="宋体" w:hAnsi="宋体"/>
          <w:color w:val="auto"/>
          <w:sz w:val="24"/>
        </w:rPr>
        <w:t>露厚度8.48～69.31m，平均厚</w:t>
      </w:r>
      <w:r>
        <w:rPr>
          <w:rFonts w:hint="eastAsia" w:ascii="宋体" w:hAnsi="宋体"/>
          <w:color w:val="auto"/>
          <w:sz w:val="24"/>
        </w:rPr>
        <w:t>度</w:t>
      </w:r>
      <w:r>
        <w:rPr>
          <w:rFonts w:ascii="宋体" w:hAnsi="宋体"/>
          <w:color w:val="auto"/>
          <w:sz w:val="24"/>
        </w:rPr>
        <w:t>31.39m。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3.</w:t>
      </w:r>
      <w:r>
        <w:rPr>
          <w:rFonts w:ascii="宋体" w:hAnsi="宋体"/>
          <w:color w:val="auto"/>
          <w:sz w:val="24"/>
        </w:rPr>
        <w:t>中侏罗统窑街组（</w:t>
      </w:r>
      <w:r>
        <w:rPr>
          <w:rFonts w:hint="default" w:ascii="Times New Roman" w:hAnsi="Times New Roman" w:cs="Times New Roman"/>
          <w:color w:val="auto"/>
          <w:sz w:val="24"/>
        </w:rPr>
        <w:t>J</w:t>
      </w:r>
      <w:r>
        <w:rPr>
          <w:rFonts w:hint="default" w:ascii="Times New Roman" w:hAnsi="Times New Roman" w:cs="Times New Roman"/>
          <w:i/>
          <w:iCs/>
          <w:color w:val="auto"/>
          <w:sz w:val="24"/>
          <w:vertAlign w:val="subscript"/>
        </w:rPr>
        <w:t>2y</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区内发育不全，</w:t>
      </w:r>
      <w:r>
        <w:rPr>
          <w:rFonts w:hint="eastAsia" w:ascii="宋体" w:hAnsi="宋体"/>
          <w:color w:val="auto"/>
          <w:sz w:val="24"/>
        </w:rPr>
        <w:t>分布较广泛，</w:t>
      </w:r>
      <w:r>
        <w:rPr>
          <w:rFonts w:ascii="宋体" w:hAnsi="宋体"/>
          <w:color w:val="auto"/>
          <w:sz w:val="24"/>
        </w:rPr>
        <w:t>由西向东变薄尖灭，是本区主要的含煤地层。</w:t>
      </w:r>
      <w:r>
        <w:rPr>
          <w:rFonts w:hint="eastAsia" w:ascii="宋体" w:hAnsi="宋体"/>
          <w:color w:val="auto"/>
          <w:sz w:val="24"/>
        </w:rPr>
        <w:t>其</w:t>
      </w:r>
      <w:r>
        <w:rPr>
          <w:rFonts w:ascii="宋体" w:hAnsi="宋体"/>
          <w:color w:val="auto"/>
          <w:sz w:val="24"/>
        </w:rPr>
        <w:t>岩性</w:t>
      </w:r>
      <w:r>
        <w:rPr>
          <w:rFonts w:hint="eastAsia" w:ascii="宋体" w:hAnsi="宋体"/>
          <w:color w:val="auto"/>
          <w:sz w:val="24"/>
        </w:rPr>
        <w:t>主要</w:t>
      </w:r>
      <w:r>
        <w:rPr>
          <w:rFonts w:ascii="宋体" w:hAnsi="宋体"/>
          <w:color w:val="auto"/>
          <w:sz w:val="24"/>
        </w:rPr>
        <w:t>为</w:t>
      </w:r>
      <w:r>
        <w:rPr>
          <w:rFonts w:hint="eastAsia" w:ascii="宋体" w:hAnsi="宋体"/>
          <w:color w:val="auto"/>
          <w:sz w:val="24"/>
        </w:rPr>
        <w:t>灰色、深灰色</w:t>
      </w:r>
      <w:r>
        <w:rPr>
          <w:rFonts w:ascii="宋体" w:hAnsi="宋体"/>
          <w:color w:val="auto"/>
          <w:sz w:val="24"/>
        </w:rPr>
        <w:t>粗粒砂岩、细粒砂岩</w:t>
      </w:r>
      <w:r>
        <w:rPr>
          <w:rFonts w:hint="eastAsia" w:ascii="宋体" w:hAnsi="宋体"/>
          <w:color w:val="auto"/>
          <w:sz w:val="24"/>
        </w:rPr>
        <w:t>、</w:t>
      </w:r>
      <w:r>
        <w:rPr>
          <w:rFonts w:ascii="宋体" w:hAnsi="宋体"/>
          <w:color w:val="auto"/>
          <w:sz w:val="24"/>
        </w:rPr>
        <w:t>粉砂岩及</w:t>
      </w:r>
      <w:r>
        <w:rPr>
          <w:rFonts w:hint="eastAsia" w:ascii="宋体" w:hAnsi="宋体"/>
          <w:color w:val="auto"/>
          <w:sz w:val="24"/>
        </w:rPr>
        <w:t>泥岩，含1</w:t>
      </w:r>
      <w:r>
        <w:rPr>
          <w:rFonts w:ascii="宋体" w:hAnsi="宋体"/>
          <w:color w:val="auto"/>
          <w:sz w:val="24"/>
        </w:rPr>
        <w:t>层</w:t>
      </w:r>
      <w:r>
        <w:rPr>
          <w:rFonts w:hint="eastAsia" w:ascii="宋体" w:hAnsi="宋体"/>
          <w:color w:val="auto"/>
          <w:sz w:val="24"/>
        </w:rPr>
        <w:t>可采</w:t>
      </w:r>
      <w:r>
        <w:rPr>
          <w:rFonts w:ascii="宋体" w:hAnsi="宋体"/>
          <w:color w:val="auto"/>
          <w:sz w:val="24"/>
        </w:rPr>
        <w:t>煤</w:t>
      </w:r>
      <w:r>
        <w:rPr>
          <w:rFonts w:hint="eastAsia" w:ascii="宋体" w:hAnsi="宋体"/>
          <w:color w:val="auto"/>
          <w:sz w:val="24"/>
        </w:rPr>
        <w:t>层。</w:t>
      </w:r>
      <w:r>
        <w:rPr>
          <w:rFonts w:ascii="宋体" w:hAnsi="宋体"/>
          <w:color w:val="auto"/>
          <w:sz w:val="24"/>
        </w:rPr>
        <w:t>窑街组</w:t>
      </w:r>
      <w:r>
        <w:rPr>
          <w:rFonts w:hint="eastAsia" w:ascii="宋体" w:hAnsi="宋体"/>
          <w:color w:val="auto"/>
          <w:sz w:val="24"/>
        </w:rPr>
        <w:t>地层旋回</w:t>
      </w:r>
      <w:r>
        <w:rPr>
          <w:rFonts w:ascii="宋体" w:hAnsi="宋体"/>
          <w:color w:val="auto"/>
          <w:sz w:val="24"/>
        </w:rPr>
        <w:t>结构清楚，属河湖沼泽相沉积。</w:t>
      </w:r>
      <w:r>
        <w:rPr>
          <w:rFonts w:hint="eastAsia" w:ascii="宋体" w:hAnsi="宋体"/>
          <w:color w:val="auto"/>
          <w:sz w:val="24"/>
        </w:rPr>
        <w:t>主要</w:t>
      </w:r>
      <w:r>
        <w:rPr>
          <w:rFonts w:ascii="宋体" w:hAnsi="宋体"/>
          <w:color w:val="auto"/>
          <w:sz w:val="24"/>
        </w:rPr>
        <w:t>不整合</w:t>
      </w:r>
      <w:r>
        <w:rPr>
          <w:rFonts w:hint="eastAsia" w:ascii="宋体" w:hAnsi="宋体"/>
          <w:color w:val="auto"/>
          <w:sz w:val="24"/>
        </w:rPr>
        <w:t>覆盖在</w:t>
      </w:r>
      <w:r>
        <w:rPr>
          <w:rFonts w:ascii="宋体" w:hAnsi="宋体"/>
          <w:color w:val="auto"/>
          <w:sz w:val="24"/>
        </w:rPr>
        <w:t>上三迭统南营儿群</w:t>
      </w:r>
      <w:r>
        <w:rPr>
          <w:rFonts w:hint="eastAsia" w:ascii="宋体" w:hAnsi="宋体"/>
          <w:color w:val="auto"/>
          <w:sz w:val="24"/>
        </w:rPr>
        <w:t>之上，仅在东部超覆不整合在</w:t>
      </w:r>
      <w:r>
        <w:rPr>
          <w:rFonts w:ascii="宋体" w:hAnsi="宋体"/>
          <w:color w:val="auto"/>
          <w:sz w:val="24"/>
        </w:rPr>
        <w:t>中下奥陶统阴沟群</w:t>
      </w:r>
      <w:r>
        <w:rPr>
          <w:rFonts w:hint="eastAsia" w:ascii="宋体" w:hAnsi="宋体"/>
          <w:color w:val="auto"/>
          <w:sz w:val="24"/>
        </w:rPr>
        <w:t>之上</w:t>
      </w:r>
      <w:r>
        <w:rPr>
          <w:rFonts w:ascii="宋体" w:hAnsi="宋体"/>
          <w:color w:val="auto"/>
          <w:sz w:val="24"/>
        </w:rPr>
        <w:t>。厚度</w:t>
      </w:r>
      <w:r>
        <w:rPr>
          <w:rFonts w:hint="eastAsia" w:ascii="宋体" w:hAnsi="宋体"/>
          <w:color w:val="auto"/>
          <w:sz w:val="24"/>
        </w:rPr>
        <w:t>0</w:t>
      </w:r>
      <w:r>
        <w:rPr>
          <w:rFonts w:ascii="宋体" w:hAnsi="宋体"/>
          <w:color w:val="auto"/>
          <w:sz w:val="24"/>
        </w:rPr>
        <w:t>～</w:t>
      </w:r>
      <w:r>
        <w:rPr>
          <w:rFonts w:hint="eastAsia" w:ascii="宋体" w:hAnsi="宋体"/>
          <w:color w:val="auto"/>
          <w:sz w:val="24"/>
        </w:rPr>
        <w:t>91.06</w:t>
      </w:r>
      <w:r>
        <w:rPr>
          <w:rFonts w:ascii="宋体" w:hAnsi="宋体"/>
          <w:color w:val="auto"/>
          <w:sz w:val="24"/>
        </w:rPr>
        <w:t>m</w:t>
      </w:r>
      <w:r>
        <w:rPr>
          <w:rFonts w:hint="eastAsia" w:ascii="宋体" w:hAnsi="宋体"/>
          <w:color w:val="auto"/>
          <w:sz w:val="24"/>
        </w:rPr>
        <w:t>，</w:t>
      </w:r>
      <w:r>
        <w:rPr>
          <w:rFonts w:ascii="宋体" w:hAnsi="宋体"/>
          <w:color w:val="auto"/>
          <w:sz w:val="24"/>
        </w:rPr>
        <w:t>平均厚度45.57m。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4.</w:t>
      </w:r>
      <w:r>
        <w:rPr>
          <w:rFonts w:ascii="宋体" w:hAnsi="宋体"/>
          <w:color w:val="auto"/>
          <w:sz w:val="24"/>
        </w:rPr>
        <w:t>中侏罗统新河组（</w:t>
      </w:r>
      <w:r>
        <w:rPr>
          <w:rFonts w:hint="default" w:ascii="Times New Roman" w:hAnsi="Times New Roman" w:cs="Times New Roman"/>
          <w:color w:val="auto"/>
          <w:sz w:val="24"/>
        </w:rPr>
        <w:t>J</w:t>
      </w:r>
      <w:r>
        <w:rPr>
          <w:rFonts w:hint="default" w:ascii="Times New Roman" w:hAnsi="Times New Roman" w:cs="Times New Roman"/>
          <w:i/>
          <w:iCs/>
          <w:color w:val="auto"/>
          <w:sz w:val="24"/>
          <w:vertAlign w:val="subscript"/>
        </w:rPr>
        <w:t>2x</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根据岩性、岩相分为上、下两段：</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下段（</w:t>
      </w:r>
      <w:r>
        <w:rPr>
          <w:rFonts w:hint="default" w:ascii="Times New Roman" w:hAnsi="Times New Roman" w:cs="Times New Roman"/>
          <w:color w:val="auto"/>
          <w:sz w:val="24"/>
        </w:rPr>
        <w:t>J</w:t>
      </w:r>
      <w:r>
        <w:rPr>
          <w:rFonts w:hint="default" w:ascii="Times New Roman" w:hAnsi="Times New Roman" w:cs="Times New Roman"/>
          <w:i/>
          <w:iCs/>
          <w:color w:val="auto"/>
          <w:sz w:val="24"/>
          <w:vertAlign w:val="subscript"/>
        </w:rPr>
        <w:t>2x</w:t>
      </w:r>
      <w:r>
        <w:rPr>
          <w:rFonts w:hint="default" w:ascii="Times New Roman" w:hAnsi="Times New Roman" w:cs="Times New Roman"/>
          <w:i/>
          <w:iCs/>
          <w:color w:val="auto"/>
          <w:sz w:val="24"/>
          <w:vertAlign w:val="superscript"/>
        </w:rPr>
        <w:t>1</w:t>
      </w:r>
      <w:r>
        <w:rPr>
          <w:rFonts w:ascii="宋体" w:hAnsi="宋体"/>
          <w:color w:val="auto"/>
          <w:sz w:val="24"/>
        </w:rPr>
        <w:t>）：又称草黄色砂岩段。底部为灰白色含砾粗粒砂岩夹粉砂岩，</w:t>
      </w:r>
      <w:r>
        <w:rPr>
          <w:rFonts w:hint="eastAsia" w:ascii="宋体" w:hAnsi="宋体"/>
          <w:color w:val="auto"/>
          <w:sz w:val="24"/>
        </w:rPr>
        <w:t>中有一层灰黑色泥岩～炭质泥岩，</w:t>
      </w:r>
      <w:r>
        <w:rPr>
          <w:rFonts w:ascii="宋体" w:hAnsi="宋体"/>
          <w:color w:val="auto"/>
          <w:sz w:val="24"/>
        </w:rPr>
        <w:t>局部</w:t>
      </w:r>
      <w:r>
        <w:rPr>
          <w:rFonts w:hint="eastAsia" w:ascii="宋体" w:hAnsi="宋体"/>
          <w:color w:val="auto"/>
          <w:sz w:val="24"/>
        </w:rPr>
        <w:t>含有</w:t>
      </w:r>
      <w:r>
        <w:rPr>
          <w:rFonts w:ascii="宋体" w:hAnsi="宋体"/>
          <w:color w:val="auto"/>
          <w:sz w:val="24"/>
        </w:rPr>
        <w:t>透镜</w:t>
      </w:r>
      <w:r>
        <w:rPr>
          <w:rFonts w:hint="eastAsia" w:ascii="宋体" w:hAnsi="宋体"/>
          <w:color w:val="auto"/>
          <w:sz w:val="24"/>
        </w:rPr>
        <w:t>状</w:t>
      </w:r>
      <w:r>
        <w:rPr>
          <w:rFonts w:ascii="宋体" w:hAnsi="宋体"/>
          <w:color w:val="auto"/>
          <w:sz w:val="24"/>
        </w:rPr>
        <w:t>煤</w:t>
      </w:r>
      <w:r>
        <w:rPr>
          <w:rFonts w:hint="eastAsia" w:ascii="宋体" w:hAnsi="宋体"/>
          <w:color w:val="auto"/>
          <w:sz w:val="24"/>
        </w:rPr>
        <w:t>线；其</w:t>
      </w:r>
      <w:r>
        <w:rPr>
          <w:rFonts w:ascii="宋体" w:hAnsi="宋体"/>
          <w:color w:val="auto"/>
          <w:sz w:val="24"/>
        </w:rPr>
        <w:t>上为灰白色中、粗粒砂岩、灰色细粒砂岩、粉砂岩与灰绿、紫红色砂质泥岩</w:t>
      </w:r>
      <w:r>
        <w:rPr>
          <w:rFonts w:hint="eastAsia" w:ascii="宋体" w:hAnsi="宋体"/>
          <w:color w:val="auto"/>
          <w:sz w:val="24"/>
        </w:rPr>
        <w:t>、</w:t>
      </w:r>
      <w:r>
        <w:rPr>
          <w:rFonts w:ascii="宋体" w:hAnsi="宋体"/>
          <w:color w:val="auto"/>
          <w:sz w:val="24"/>
        </w:rPr>
        <w:t>泥岩</w:t>
      </w:r>
      <w:r>
        <w:rPr>
          <w:rFonts w:hint="eastAsia" w:ascii="宋体" w:hAnsi="宋体"/>
          <w:color w:val="auto"/>
          <w:sz w:val="24"/>
        </w:rPr>
        <w:t>呈</w:t>
      </w:r>
      <w:r>
        <w:rPr>
          <w:rFonts w:ascii="宋体" w:hAnsi="宋体"/>
          <w:color w:val="auto"/>
          <w:sz w:val="24"/>
        </w:rPr>
        <w:t>互层</w:t>
      </w:r>
      <w:r>
        <w:rPr>
          <w:rFonts w:hint="eastAsia" w:ascii="宋体" w:hAnsi="宋体"/>
          <w:color w:val="auto"/>
          <w:sz w:val="24"/>
        </w:rPr>
        <w:t>。</w:t>
      </w:r>
      <w:r>
        <w:rPr>
          <w:rFonts w:ascii="宋体" w:hAnsi="宋体"/>
          <w:color w:val="auto"/>
          <w:sz w:val="24"/>
        </w:rPr>
        <w:t>各种岩性厚薄不一，</w:t>
      </w:r>
      <w:r>
        <w:rPr>
          <w:rFonts w:hint="eastAsia" w:ascii="宋体" w:hAnsi="宋体"/>
          <w:color w:val="auto"/>
          <w:sz w:val="24"/>
        </w:rPr>
        <w:t>旋回</w:t>
      </w:r>
      <w:r>
        <w:rPr>
          <w:rFonts w:ascii="宋体" w:hAnsi="宋体"/>
          <w:color w:val="auto"/>
          <w:sz w:val="24"/>
        </w:rPr>
        <w:t>结构比较清楚，但变化比较大，旋</w:t>
      </w:r>
      <w:r>
        <w:rPr>
          <w:rFonts w:hint="eastAsia" w:ascii="宋体" w:hAnsi="宋体"/>
          <w:color w:val="auto"/>
          <w:sz w:val="24"/>
        </w:rPr>
        <w:t>回</w:t>
      </w:r>
      <w:r>
        <w:rPr>
          <w:rFonts w:ascii="宋体" w:hAnsi="宋体"/>
          <w:color w:val="auto"/>
          <w:sz w:val="24"/>
        </w:rPr>
        <w:t>之间对比困难</w:t>
      </w:r>
      <w:r>
        <w:rPr>
          <w:rFonts w:hint="eastAsia" w:ascii="宋体" w:hAnsi="宋体"/>
          <w:color w:val="auto"/>
          <w:sz w:val="24"/>
        </w:rPr>
        <w:t>，</w:t>
      </w:r>
      <w:r>
        <w:rPr>
          <w:rFonts w:ascii="宋体" w:hAnsi="宋体"/>
          <w:color w:val="auto"/>
          <w:sz w:val="24"/>
        </w:rPr>
        <w:t>属河湖相沉积。与下伏地层呈平行不整合接触。平均厚度201.73m。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上段（</w:t>
      </w:r>
      <w:r>
        <w:rPr>
          <w:rFonts w:hint="default" w:ascii="Times New Roman" w:hAnsi="Times New Roman" w:cs="Times New Roman"/>
          <w:color w:val="auto"/>
          <w:sz w:val="24"/>
        </w:rPr>
        <w:t>J</w:t>
      </w:r>
      <w:r>
        <w:rPr>
          <w:rFonts w:hint="default" w:ascii="Times New Roman" w:hAnsi="Times New Roman" w:cs="Times New Roman"/>
          <w:i/>
          <w:iCs/>
          <w:color w:val="auto"/>
          <w:sz w:val="24"/>
          <w:vertAlign w:val="subscript"/>
        </w:rPr>
        <w:t>2x</w:t>
      </w:r>
      <w:r>
        <w:rPr>
          <w:rFonts w:hint="default" w:ascii="Times New Roman" w:hAnsi="Times New Roman" w:cs="Times New Roman"/>
          <w:i/>
          <w:iCs/>
          <w:color w:val="auto"/>
          <w:sz w:val="24"/>
          <w:vertAlign w:val="superscript"/>
        </w:rPr>
        <w:t>2</w:t>
      </w:r>
      <w:r>
        <w:rPr>
          <w:rFonts w:ascii="宋体" w:hAnsi="宋体"/>
          <w:color w:val="auto"/>
          <w:sz w:val="24"/>
        </w:rPr>
        <w:t>）：又称油页岩段。岩性底部为浅灰绿色中粒砂岩，局部为细粒砂岩</w:t>
      </w:r>
      <w:r>
        <w:rPr>
          <w:rFonts w:hint="eastAsia" w:ascii="宋体" w:hAnsi="宋体"/>
          <w:color w:val="auto"/>
          <w:sz w:val="24"/>
        </w:rPr>
        <w:t>；其</w:t>
      </w:r>
      <w:r>
        <w:rPr>
          <w:rFonts w:ascii="宋体" w:hAnsi="宋体"/>
          <w:color w:val="auto"/>
          <w:sz w:val="24"/>
        </w:rPr>
        <w:t>上</w:t>
      </w:r>
      <w:r>
        <w:rPr>
          <w:rFonts w:hint="eastAsia" w:ascii="宋体" w:hAnsi="宋体"/>
          <w:color w:val="auto"/>
          <w:sz w:val="24"/>
        </w:rPr>
        <w:t>为</w:t>
      </w:r>
      <w:r>
        <w:rPr>
          <w:rFonts w:ascii="宋体" w:hAnsi="宋体"/>
          <w:color w:val="auto"/>
          <w:sz w:val="24"/>
        </w:rPr>
        <w:t>紫红色砂质泥岩，兰灰色、灰色</w:t>
      </w:r>
      <w:r>
        <w:rPr>
          <w:rFonts w:hint="eastAsia" w:ascii="宋体" w:hAnsi="宋体"/>
          <w:color w:val="auto"/>
          <w:sz w:val="24"/>
        </w:rPr>
        <w:t>、</w:t>
      </w:r>
      <w:r>
        <w:rPr>
          <w:rFonts w:ascii="宋体" w:hAnsi="宋体"/>
          <w:color w:val="auto"/>
          <w:sz w:val="24"/>
        </w:rPr>
        <w:t>紫红色泥岩，含叶肢介、介形类、瓣鳃类等动物化石及轮藻等。属内陆湖泊相沉积。与下伏地层整合接触。平均厚度117.10m。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5.</w:t>
      </w:r>
      <w:r>
        <w:rPr>
          <w:rFonts w:ascii="宋体" w:hAnsi="宋体"/>
          <w:color w:val="auto"/>
          <w:sz w:val="24"/>
        </w:rPr>
        <w:t>上侏罗统苦水峡组（</w:t>
      </w:r>
      <w:r>
        <w:rPr>
          <w:rFonts w:hint="default" w:ascii="Times New Roman" w:hAnsi="Times New Roman" w:cs="Times New Roman"/>
          <w:color w:val="auto"/>
          <w:sz w:val="24"/>
        </w:rPr>
        <w:t>J</w:t>
      </w:r>
      <w:r>
        <w:rPr>
          <w:rFonts w:hint="default" w:ascii="Times New Roman" w:hAnsi="Times New Roman" w:cs="Times New Roman"/>
          <w:i/>
          <w:iCs/>
          <w:color w:val="auto"/>
          <w:sz w:val="24"/>
          <w:vertAlign w:val="subscript"/>
        </w:rPr>
        <w:t>3k</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出露于打拉池红山一带</w:t>
      </w:r>
      <w:r>
        <w:rPr>
          <w:rFonts w:hint="eastAsia" w:ascii="宋体" w:hAnsi="宋体"/>
          <w:color w:val="auto"/>
          <w:sz w:val="24"/>
        </w:rPr>
        <w:t>。</w:t>
      </w:r>
      <w:r>
        <w:rPr>
          <w:rFonts w:ascii="宋体" w:hAnsi="宋体"/>
          <w:color w:val="auto"/>
          <w:sz w:val="24"/>
        </w:rPr>
        <w:t>岩性</w:t>
      </w:r>
      <w:r>
        <w:rPr>
          <w:rFonts w:hint="eastAsia" w:ascii="宋体" w:hAnsi="宋体"/>
          <w:color w:val="auto"/>
          <w:sz w:val="24"/>
        </w:rPr>
        <w:t>为</w:t>
      </w:r>
      <w:r>
        <w:rPr>
          <w:rFonts w:ascii="宋体" w:hAnsi="宋体"/>
          <w:color w:val="auto"/>
          <w:sz w:val="24"/>
        </w:rPr>
        <w:t>紫红色、暗紫红色泥岩、砂质泥岩及粉砂岩互层，含石膏，局部夹薄层砂岩及石膏条带，含介形类及叶肢介化石，属于干旱气候条件下的湖泊相沉积。区内</w:t>
      </w:r>
      <w:r>
        <w:rPr>
          <w:rFonts w:hint="eastAsia" w:ascii="宋体" w:hAnsi="宋体"/>
          <w:color w:val="auto"/>
          <w:sz w:val="24"/>
        </w:rPr>
        <w:t>地层</w:t>
      </w:r>
      <w:r>
        <w:rPr>
          <w:rFonts w:ascii="宋体" w:hAnsi="宋体"/>
          <w:color w:val="auto"/>
          <w:sz w:val="24"/>
        </w:rPr>
        <w:t>出露不全，厚度400m以上。</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6.</w:t>
      </w:r>
      <w:r>
        <w:rPr>
          <w:rFonts w:ascii="宋体" w:hAnsi="宋体"/>
          <w:color w:val="auto"/>
          <w:sz w:val="24"/>
        </w:rPr>
        <w:t>下白垩统河口群（</w:t>
      </w:r>
      <w:r>
        <w:rPr>
          <w:rFonts w:hint="default" w:ascii="Times New Roman" w:hAnsi="Times New Roman" w:cs="Times New Roman"/>
          <w:color w:val="auto"/>
          <w:sz w:val="24"/>
        </w:rPr>
        <w:t>K</w:t>
      </w:r>
      <w:r>
        <w:rPr>
          <w:rFonts w:hint="default" w:ascii="Times New Roman" w:hAnsi="Times New Roman" w:cs="Times New Roman"/>
          <w:i/>
          <w:iCs/>
          <w:color w:val="auto"/>
          <w:sz w:val="24"/>
          <w:vertAlign w:val="subscript"/>
        </w:rPr>
        <w:t>1hk</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区内只有W1802钻孔揭露，岩性为红色、砖红色中、粗粒砂岩，巨厚层状，岩性单一，砂泥质胶结，透水性较好。属于干旱气候条件下的河流相沉积。厚度378.12m。与下伏</w:t>
      </w:r>
      <w:r>
        <w:rPr>
          <w:rFonts w:hint="default" w:ascii="Times New Roman" w:hAnsi="Times New Roman" w:cs="Times New Roman"/>
          <w:color w:val="auto"/>
          <w:sz w:val="24"/>
        </w:rPr>
        <w:t>J</w:t>
      </w:r>
      <w:r>
        <w:rPr>
          <w:rFonts w:hint="default" w:ascii="Times New Roman" w:hAnsi="Times New Roman" w:cs="Times New Roman"/>
          <w:i/>
          <w:iCs/>
          <w:color w:val="auto"/>
          <w:sz w:val="24"/>
          <w:vertAlign w:val="subscript"/>
        </w:rPr>
        <w:t>3k</w:t>
      </w:r>
      <w:r>
        <w:rPr>
          <w:rFonts w:hint="eastAsia" w:ascii="宋体" w:hAnsi="宋体"/>
          <w:color w:val="auto"/>
          <w:sz w:val="24"/>
        </w:rPr>
        <w:t>呈</w:t>
      </w:r>
      <w:r>
        <w:rPr>
          <w:rFonts w:ascii="宋体" w:hAnsi="宋体"/>
          <w:color w:val="auto"/>
          <w:sz w:val="24"/>
        </w:rPr>
        <w:t>不整合接触。</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7.</w:t>
      </w:r>
      <w:r>
        <w:rPr>
          <w:rFonts w:ascii="宋体" w:hAnsi="宋体"/>
          <w:color w:val="auto"/>
          <w:sz w:val="24"/>
        </w:rPr>
        <w:t>第四系（</w:t>
      </w:r>
      <w:r>
        <w:rPr>
          <w:rFonts w:hint="default" w:ascii="Times New Roman" w:hAnsi="Times New Roman" w:cs="Times New Roman"/>
          <w:color w:val="auto"/>
          <w:sz w:val="24"/>
        </w:rPr>
        <w:t>Q</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ascii="宋体" w:hAnsi="宋体"/>
          <w:color w:val="auto"/>
          <w:sz w:val="24"/>
        </w:rPr>
      </w:pPr>
      <w:r>
        <w:rPr>
          <w:rFonts w:hint="eastAsia" w:ascii="宋体" w:hAnsi="宋体"/>
          <w:color w:val="auto"/>
          <w:sz w:val="24"/>
        </w:rPr>
        <w:t>（1）</w:t>
      </w:r>
      <w:r>
        <w:rPr>
          <w:rFonts w:ascii="宋体" w:hAnsi="宋体"/>
          <w:color w:val="auto"/>
          <w:sz w:val="24"/>
        </w:rPr>
        <w:t>更新统（</w:t>
      </w:r>
      <w:r>
        <w:rPr>
          <w:rFonts w:hint="default" w:ascii="Times New Roman" w:hAnsi="Times New Roman" w:cs="Times New Roman"/>
          <w:color w:val="auto"/>
          <w:sz w:val="24"/>
        </w:rPr>
        <w:t>Q</w:t>
      </w:r>
      <w:r>
        <w:rPr>
          <w:rFonts w:hint="default" w:ascii="Times New Roman" w:hAnsi="Times New Roman" w:cs="Times New Roman"/>
          <w:i/>
          <w:iCs/>
          <w:color w:val="auto"/>
          <w:sz w:val="24"/>
          <w:vertAlign w:val="subscript"/>
        </w:rPr>
        <w:t>p</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ascii="宋体" w:hAnsi="宋体"/>
          <w:color w:val="auto"/>
          <w:sz w:val="24"/>
        </w:rPr>
      </w:pPr>
      <w:r>
        <w:rPr>
          <w:rFonts w:ascii="宋体" w:hAnsi="宋体"/>
          <w:color w:val="auto"/>
          <w:sz w:val="24"/>
        </w:rPr>
        <w:t>底部为土灰色砾岩、角砾岩</w:t>
      </w:r>
      <w:r>
        <w:rPr>
          <w:rFonts w:hint="eastAsia" w:ascii="宋体" w:hAnsi="宋体"/>
          <w:color w:val="auto"/>
          <w:sz w:val="24"/>
        </w:rPr>
        <w:t>，</w:t>
      </w:r>
      <w:r>
        <w:rPr>
          <w:rFonts w:ascii="宋体" w:hAnsi="宋体"/>
          <w:color w:val="auto"/>
          <w:sz w:val="24"/>
        </w:rPr>
        <w:t>灰绿色碎石与亚砂土互层；中部为棕黄色黄土、亚粘土夹砾石层</w:t>
      </w:r>
      <w:r>
        <w:rPr>
          <w:rFonts w:hint="eastAsia" w:ascii="宋体" w:hAnsi="宋体"/>
          <w:color w:val="auto"/>
          <w:sz w:val="24"/>
        </w:rPr>
        <w:t>；</w:t>
      </w:r>
      <w:r>
        <w:rPr>
          <w:rFonts w:ascii="宋体" w:hAnsi="宋体"/>
          <w:color w:val="auto"/>
          <w:sz w:val="24"/>
        </w:rPr>
        <w:t>上部为浅黄色疏松黄土层。不整合于下伏地层之上。厚度9～15m，平均11m。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ascii="宋体" w:hAnsi="宋体"/>
          <w:color w:val="auto"/>
          <w:sz w:val="24"/>
        </w:rPr>
      </w:pPr>
      <w:r>
        <w:rPr>
          <w:rFonts w:hint="eastAsia" w:ascii="宋体" w:hAnsi="宋体"/>
          <w:color w:val="auto"/>
          <w:sz w:val="24"/>
        </w:rPr>
        <w:t>（2）</w:t>
      </w:r>
      <w:r>
        <w:rPr>
          <w:rFonts w:ascii="宋体" w:hAnsi="宋体"/>
          <w:color w:val="auto"/>
          <w:sz w:val="24"/>
        </w:rPr>
        <w:t>全新统（</w:t>
      </w:r>
      <w:r>
        <w:rPr>
          <w:rFonts w:hint="default" w:ascii="Times New Roman" w:hAnsi="Times New Roman" w:cs="Times New Roman"/>
          <w:color w:val="auto"/>
          <w:sz w:val="24"/>
        </w:rPr>
        <w:t>Q</w:t>
      </w:r>
      <w:r>
        <w:rPr>
          <w:rFonts w:hint="default" w:ascii="Times New Roman" w:hAnsi="Times New Roman" w:cs="Times New Roman"/>
          <w:i/>
          <w:iCs/>
          <w:color w:val="auto"/>
          <w:sz w:val="24"/>
          <w:vertAlign w:val="subscript"/>
        </w:rPr>
        <w:t>h</w:t>
      </w:r>
      <w:r>
        <w:rPr>
          <w:rFonts w:ascii="宋体" w:hAnsi="宋体"/>
          <w:color w:val="auto"/>
          <w:sz w:val="24"/>
        </w:rPr>
        <w:t>）</w:t>
      </w:r>
    </w:p>
    <w:p>
      <w:pPr>
        <w:keepNext w:val="0"/>
        <w:keepLines w:val="0"/>
        <w:pageBreakBefore w:val="0"/>
        <w:widowControl w:val="0"/>
        <w:tabs>
          <w:tab w:val="left" w:pos="600"/>
        </w:tabs>
        <w:kinsoku/>
        <w:wordWrap/>
        <w:overflowPunct/>
        <w:topLinePunct w:val="0"/>
        <w:autoSpaceDE/>
        <w:autoSpaceDN/>
        <w:bidi w:val="0"/>
        <w:adjustRightInd/>
        <w:snapToGrid/>
        <w:spacing w:line="560" w:lineRule="exact"/>
        <w:ind w:firstLine="480" w:firstLineChars="200"/>
        <w:textAlignment w:val="auto"/>
        <w:outlineLvl w:val="9"/>
        <w:rPr>
          <w:rFonts w:ascii="宋体" w:hAnsi="宋体"/>
          <w:color w:val="auto"/>
          <w:sz w:val="24"/>
        </w:rPr>
      </w:pPr>
      <w:r>
        <w:rPr>
          <w:rFonts w:ascii="宋体" w:hAnsi="宋体"/>
          <w:color w:val="auto"/>
          <w:sz w:val="24"/>
        </w:rPr>
        <w:t>分布于沟谷、平滩等低凹地带。为松散砂砾石层夹亚砂土及亚粘土层。不整合于</w:t>
      </w:r>
      <w:r>
        <w:rPr>
          <w:rFonts w:hint="eastAsia" w:ascii="宋体" w:hAnsi="宋体"/>
          <w:color w:val="auto"/>
          <w:sz w:val="24"/>
        </w:rPr>
        <w:t>所有下伏</w:t>
      </w:r>
      <w:r>
        <w:rPr>
          <w:rFonts w:ascii="宋体" w:hAnsi="宋体"/>
          <w:color w:val="auto"/>
          <w:sz w:val="24"/>
        </w:rPr>
        <w:t>地层之上。厚度0～4m，平均1.3m。</w:t>
      </w:r>
    </w:p>
    <w:p>
      <w:pPr>
        <w:pStyle w:val="2"/>
        <w:keepNext w:val="0"/>
        <w:keepLines w:val="0"/>
        <w:pageBreakBefore w:val="0"/>
        <w:widowControl w:val="0"/>
        <w:kinsoku/>
        <w:wordWrap/>
        <w:overflowPunct/>
        <w:topLinePunct w:val="0"/>
        <w:autoSpaceDE/>
        <w:autoSpaceDN/>
        <w:bidi w:val="0"/>
        <w:adjustRightInd/>
        <w:snapToGrid/>
        <w:spacing w:after="0" w:line="560" w:lineRule="exact"/>
        <w:ind w:firstLine="482" w:firstLineChars="200"/>
        <w:textAlignment w:val="auto"/>
        <w:outlineLvl w:val="9"/>
        <w:rPr>
          <w:rFonts w:hint="eastAsia" w:ascii="宋体" w:hAnsi="宋体"/>
          <w:b/>
          <w:bCs/>
          <w:color w:val="auto"/>
          <w:sz w:val="24"/>
          <w:lang w:val="en-US" w:eastAsia="zh-CN"/>
        </w:rPr>
      </w:pPr>
      <w:r>
        <w:rPr>
          <w:rFonts w:hint="eastAsia" w:ascii="宋体" w:hAnsi="宋体"/>
          <w:b/>
          <w:bCs/>
          <w:color w:val="auto"/>
          <w:sz w:val="24"/>
          <w:lang w:val="en-US" w:eastAsia="zh-CN"/>
        </w:rPr>
        <w:t>二、构造</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（一）褶皱</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1.龙凤山背斜：位于矿井以西，F</w:t>
      </w:r>
      <w:r>
        <w:rPr>
          <w:rFonts w:hint="eastAsia" w:ascii="宋体" w:hAnsi="宋体" w:eastAsia="宋体" w:cs="宋体"/>
          <w:color w:val="auto"/>
          <w:sz w:val="24"/>
          <w:szCs w:val="20"/>
          <w:highlight w:val="none"/>
          <w:vertAlign w:val="subscript"/>
          <w:lang w:val="en-US" w:eastAsia="zh-CN"/>
        </w:rPr>
        <w:t>5</w:t>
      </w:r>
      <w:r>
        <w:rPr>
          <w:rFonts w:hint="eastAsia" w:ascii="宋体" w:hAnsi="宋体" w:eastAsia="宋体" w:cs="宋体"/>
          <w:color w:val="auto"/>
          <w:sz w:val="24"/>
          <w:szCs w:val="20"/>
          <w:highlight w:val="none"/>
          <w:lang w:val="en-US" w:eastAsia="zh-CN"/>
        </w:rPr>
        <w:t>逆断层以北。轴向340°，向SE倾伏，主要发生在上三叠统南营儿群（</w:t>
      </w:r>
      <w:r>
        <w:rPr>
          <w:rFonts w:hint="default" w:ascii="宋体" w:hAnsi="宋体" w:eastAsia="宋体" w:cs="宋体"/>
          <w:color w:val="auto"/>
          <w:sz w:val="24"/>
          <w:szCs w:val="20"/>
          <w:highlight w:val="none"/>
          <w:lang w:val="en-US" w:eastAsia="zh-CN"/>
        </w:rPr>
        <w:t>T</w:t>
      </w:r>
      <w:r>
        <w:rPr>
          <w:rFonts w:hint="default" w:ascii="宋体" w:hAnsi="宋体" w:eastAsia="宋体" w:cs="宋体"/>
          <w:color w:val="auto"/>
          <w:sz w:val="24"/>
          <w:szCs w:val="20"/>
          <w:highlight w:val="none"/>
          <w:vertAlign w:val="subscript"/>
          <w:lang w:val="en-US" w:eastAsia="zh-CN"/>
        </w:rPr>
        <w:t>3</w:t>
      </w:r>
      <w:r>
        <w:rPr>
          <w:rFonts w:hint="default" w:ascii="Times New Roman" w:hAnsi="Times New Roman" w:eastAsia="宋体" w:cs="Times New Roman"/>
          <w:i/>
          <w:iCs/>
          <w:color w:val="auto"/>
          <w:sz w:val="24"/>
          <w:szCs w:val="20"/>
          <w:highlight w:val="none"/>
          <w:lang w:val="en-US" w:eastAsia="zh-CN"/>
        </w:rPr>
        <w:t>nn</w:t>
      </w:r>
      <w:r>
        <w:rPr>
          <w:rFonts w:hint="eastAsia" w:ascii="宋体" w:hAnsi="宋体" w:eastAsia="宋体" w:cs="宋体"/>
          <w:color w:val="auto"/>
          <w:sz w:val="24"/>
          <w:szCs w:val="20"/>
          <w:highlight w:val="none"/>
          <w:lang w:val="en-US" w:eastAsia="zh-CN"/>
        </w:rPr>
        <w:t>）地层中，对井田含煤地层基本无影响。</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2.马家宽沟向斜：贯穿矿井西部，是本矿井的主要褶皱。北起补8孔以北，南至45号孔附近被F</w:t>
      </w:r>
      <w:r>
        <w:rPr>
          <w:rFonts w:hint="eastAsia" w:ascii="宋体" w:hAnsi="宋体" w:eastAsia="宋体" w:cs="宋体"/>
          <w:color w:val="auto"/>
          <w:sz w:val="24"/>
          <w:szCs w:val="20"/>
          <w:highlight w:val="none"/>
          <w:vertAlign w:val="subscript"/>
          <w:lang w:val="en-US" w:eastAsia="zh-CN"/>
        </w:rPr>
        <w:t>5</w:t>
      </w:r>
      <w:r>
        <w:rPr>
          <w:rFonts w:hint="eastAsia" w:ascii="宋体" w:hAnsi="宋体" w:eastAsia="宋体" w:cs="宋体"/>
          <w:color w:val="auto"/>
          <w:sz w:val="24"/>
          <w:szCs w:val="20"/>
          <w:highlight w:val="none"/>
          <w:lang w:val="en-US" w:eastAsia="zh-CN"/>
        </w:rPr>
        <w:t>逆断层截切。向斜轴的总体走向为345°左右，平面上有多处波状弯曲，枢纽也有起伏，在补31、45号孔等处为向斜槽部的最低处。</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3.下庄背斜：位于矿井北部，由补9孔以北进入本矿井，往南直至补37孔附近被F</w:t>
      </w:r>
      <w:r>
        <w:rPr>
          <w:rFonts w:hint="eastAsia" w:ascii="宋体" w:hAnsi="宋体" w:eastAsia="宋体" w:cs="宋体"/>
          <w:color w:val="auto"/>
          <w:sz w:val="24"/>
          <w:szCs w:val="20"/>
          <w:highlight w:val="none"/>
          <w:vertAlign w:val="subscript"/>
          <w:lang w:val="en-US" w:eastAsia="zh-CN"/>
        </w:rPr>
        <w:t>15</w:t>
      </w:r>
      <w:r>
        <w:rPr>
          <w:rFonts w:hint="eastAsia" w:ascii="宋体" w:hAnsi="宋体" w:eastAsia="宋体" w:cs="宋体"/>
          <w:color w:val="auto"/>
          <w:sz w:val="24"/>
          <w:szCs w:val="20"/>
          <w:highlight w:val="none"/>
          <w:lang w:val="en-US" w:eastAsia="zh-CN"/>
        </w:rPr>
        <w:t>逆断层切割而消失。轴向340°，往SE倾伏。北段褶皱较紧闭，两翼较陡，倾角30～50°，东翼更陡，局部可直立；南段褶皱较宽缓，两翼倾角20～30°。该背斜与以东的F</w:t>
      </w:r>
      <w:r>
        <w:rPr>
          <w:rFonts w:hint="eastAsia" w:ascii="宋体" w:hAnsi="宋体" w:eastAsia="宋体" w:cs="宋体"/>
          <w:color w:val="auto"/>
          <w:sz w:val="24"/>
          <w:szCs w:val="20"/>
          <w:highlight w:val="none"/>
          <w:vertAlign w:val="subscript"/>
          <w:lang w:val="en-US" w:eastAsia="zh-CN"/>
        </w:rPr>
        <w:t>15</w:t>
      </w:r>
      <w:r>
        <w:rPr>
          <w:rFonts w:hint="eastAsia" w:ascii="宋体" w:hAnsi="宋体" w:eastAsia="宋体" w:cs="宋体"/>
          <w:color w:val="auto"/>
          <w:sz w:val="24"/>
          <w:szCs w:val="20"/>
          <w:highlight w:val="none"/>
          <w:lang w:val="en-US" w:eastAsia="zh-CN"/>
        </w:rPr>
        <w:t>逆断层相伴产出，两者关系密切，应有成因联系。</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4.红会复向斜：位于红会矿区的东缘，轴向近南北，与龙凤山背斜、马家宽沟向斜近于平行。由于它横跨在几个近东西向小褶皱之上，因此其向斜轴位置、形态等还不太清楚，有待今后进一步了解。</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5.南部穹隆构造：位于矿井东部的19、35、43号孔一带，以往资料中称为南部隆起区或无煤区。在该穹隆区，煤系、煤层均变薄尖灭，而且新河组底砾岩对煤系、煤层均有剥蚀冲刷作用。这两者均证明属于同沉积褶皱（同沉积穹隆）。由新河组底界面形态看，它又是短轴背斜构造，属后期继承性褶皱隆起叠加形成。该穹隆构造形似椭圆形，长轴方向约为285°，长短轴之比为2∶1。长轴长度超过2km，若按一层煤零点线衡量为1.4k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6.北部穹隆构造：过去资料中称为北部隆起区，即位于红会矿区“葫芦”最细的瓶颈处，介于红会一矿与红会四矿之间。该构造与南部穹隆构造相似，均为同沉积构造与后期变形构造叠加形成，但规模更大，长轴方向也为近东西向。</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红会一矿东北侧为北部穹隆构造的南翼，一层煤的走向65～75°，倾向SE，倾角10°左右。</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7.新53～23号孔向斜：位于矿井东部，介于南部穹隆与北部穹隆之间。向斜轴从这两孔之间通过，轴向近东西，往东倾伏；再往东又分为南北两支，南支轴向NW-SE，延至红一补21′孔附近。向斜两翼很宽缓，枢纽成中部下凹的马鞍形，最深部位在红一补21′孔附近，煤层埋深达514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8.新12～新54孔向斜和矿7～红补1孔背斜：它们相伴产出，都位于矿井的中西部，马家宽沟向斜以西。前者的向斜轴向约325°，往SE倾伏，轴长约1.3km。后者位于上述向斜的NE侧，背斜轴向约315°，往SE倾伏，轴长约1k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9.南部背斜：位于矿井的SW，背斜轴向NEE，往NE倾伏。它使附近的煤层露头线呈往东凸出的弧形。</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（二）断层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矿井内断层较发育，但绝大多数是在井巷工程中揭露出的小断层。现仅简述落差较大的断层。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color w:val="auto"/>
          <w:sz w:val="24"/>
        </w:rPr>
      </w:pPr>
      <w:r>
        <w:rPr>
          <w:rFonts w:hint="eastAsia" w:ascii="宋体" w:hAnsi="宋体" w:eastAsia="宋体" w:cs="宋体"/>
          <w:color w:val="auto"/>
          <w:sz w:val="24"/>
          <w:szCs w:val="20"/>
          <w:highlight w:val="none"/>
          <w:lang w:val="en-US" w:eastAsia="zh-CN"/>
        </w:rPr>
        <w:t>1.F</w:t>
      </w:r>
      <w:r>
        <w:rPr>
          <w:rFonts w:hint="eastAsia" w:ascii="宋体" w:hAnsi="宋体" w:eastAsia="宋体" w:cs="宋体"/>
          <w:color w:val="auto"/>
          <w:sz w:val="24"/>
          <w:szCs w:val="20"/>
          <w:highlight w:val="none"/>
          <w:vertAlign w:val="subscript"/>
          <w:lang w:val="en-US" w:eastAsia="zh-CN"/>
        </w:rPr>
        <w:t>1h</w:t>
      </w:r>
      <w:r>
        <w:rPr>
          <w:rFonts w:hint="eastAsia" w:ascii="宋体" w:hAnsi="宋体" w:eastAsia="宋体" w:cs="宋体"/>
          <w:color w:val="auto"/>
          <w:sz w:val="24"/>
          <w:szCs w:val="20"/>
          <w:highlight w:val="none"/>
          <w:lang w:val="en-US" w:eastAsia="zh-CN"/>
        </w:rPr>
        <w:t>断层(区域地质图F</w:t>
      </w:r>
      <w:r>
        <w:rPr>
          <w:rFonts w:hint="eastAsia" w:ascii="宋体" w:hAnsi="宋体" w:eastAsia="宋体" w:cs="宋体"/>
          <w:color w:val="auto"/>
          <w:sz w:val="24"/>
          <w:szCs w:val="20"/>
          <w:highlight w:val="none"/>
          <w:vertAlign w:val="subscript"/>
          <w:lang w:val="en-US" w:eastAsia="zh-CN"/>
        </w:rPr>
        <w:t>5</w:t>
      </w:r>
      <w:r>
        <w:rPr>
          <w:rFonts w:hint="eastAsia" w:ascii="宋体" w:hAnsi="宋体" w:eastAsia="宋体" w:cs="宋体"/>
          <w:color w:val="auto"/>
          <w:sz w:val="24"/>
          <w:szCs w:val="20"/>
          <w:highlight w:val="none"/>
          <w:lang w:val="en-US" w:eastAsia="zh-CN"/>
        </w:rPr>
        <w:t>断层)：为区域性</w:t>
      </w:r>
      <w:r>
        <w:rPr>
          <w:rFonts w:hint="eastAsia" w:ascii="宋体" w:hAnsi="宋体"/>
          <w:color w:val="auto"/>
          <w:sz w:val="24"/>
        </w:rPr>
        <w:t>的</w:t>
      </w:r>
      <w:r>
        <w:rPr>
          <w:rFonts w:ascii="宋体" w:hAnsi="宋体"/>
          <w:color w:val="auto"/>
          <w:sz w:val="24"/>
        </w:rPr>
        <w:t>弧形压性逆断层</w:t>
      </w:r>
      <w:r>
        <w:rPr>
          <w:rFonts w:hint="eastAsia" w:ascii="宋体" w:hAnsi="宋体"/>
          <w:color w:val="auto"/>
          <w:sz w:val="24"/>
        </w:rPr>
        <w:t>，兼具左行扭动性质，在平面上呈缓波状，形成</w:t>
      </w:r>
      <w:r>
        <w:rPr>
          <w:rFonts w:hint="eastAsia" w:ascii="宋体" w:hAnsi="宋体"/>
          <w:color w:val="auto"/>
          <w:sz w:val="24"/>
          <w:lang w:eastAsia="zh-CN"/>
        </w:rPr>
        <w:t>南翼井田</w:t>
      </w:r>
      <w:r>
        <w:rPr>
          <w:rFonts w:hint="eastAsia" w:ascii="宋体" w:hAnsi="宋体"/>
          <w:color w:val="auto"/>
          <w:sz w:val="24"/>
        </w:rPr>
        <w:t>的北部边界，</w:t>
      </w:r>
      <w:r>
        <w:rPr>
          <w:rFonts w:ascii="宋体" w:hAnsi="宋体"/>
          <w:color w:val="auto"/>
          <w:sz w:val="24"/>
        </w:rPr>
        <w:t>并延伸至</w:t>
      </w:r>
      <w:r>
        <w:rPr>
          <w:rFonts w:hint="eastAsia" w:ascii="宋体" w:hAnsi="宋体"/>
          <w:color w:val="auto"/>
          <w:sz w:val="24"/>
        </w:rPr>
        <w:t>勘查区</w:t>
      </w:r>
      <w:r>
        <w:rPr>
          <w:rFonts w:ascii="宋体" w:hAnsi="宋体"/>
          <w:color w:val="auto"/>
          <w:sz w:val="24"/>
        </w:rPr>
        <w:t>以外。</w:t>
      </w:r>
      <w:r>
        <w:rPr>
          <w:rFonts w:hint="eastAsia" w:ascii="宋体" w:hAnsi="宋体"/>
          <w:color w:val="auto"/>
          <w:sz w:val="24"/>
        </w:rPr>
        <w:t>断层</w:t>
      </w:r>
      <w:r>
        <w:rPr>
          <w:rFonts w:ascii="宋体" w:hAnsi="宋体"/>
          <w:color w:val="auto"/>
          <w:sz w:val="24"/>
        </w:rPr>
        <w:t>走向由N55°W向东变为N65°W，倾向NE，倾角65～70°。</w:t>
      </w:r>
      <w:r>
        <w:rPr>
          <w:rFonts w:hint="eastAsia" w:ascii="宋体" w:hAnsi="宋体"/>
          <w:color w:val="auto"/>
          <w:sz w:val="24"/>
        </w:rPr>
        <w:t>断层</w:t>
      </w:r>
      <w:r>
        <w:rPr>
          <w:rFonts w:ascii="宋体" w:hAnsi="宋体"/>
          <w:color w:val="auto"/>
          <w:sz w:val="24"/>
        </w:rPr>
        <w:t>落差在井田西部达400m以上，向东逐渐</w:t>
      </w:r>
      <w:r>
        <w:rPr>
          <w:rFonts w:hint="eastAsia" w:ascii="宋体" w:hAnsi="宋体"/>
          <w:color w:val="auto"/>
          <w:sz w:val="24"/>
        </w:rPr>
        <w:t>变</w:t>
      </w:r>
      <w:r>
        <w:rPr>
          <w:rFonts w:ascii="宋体" w:hAnsi="宋体"/>
          <w:color w:val="auto"/>
          <w:sz w:val="24"/>
        </w:rPr>
        <w:t>小</w:t>
      </w:r>
      <w:r>
        <w:rPr>
          <w:rFonts w:hint="eastAsia" w:ascii="宋体" w:hAnsi="宋体"/>
          <w:color w:val="auto"/>
          <w:sz w:val="24"/>
        </w:rPr>
        <w:t>以至消失</w:t>
      </w:r>
      <w:r>
        <w:rPr>
          <w:rFonts w:ascii="宋体" w:hAnsi="宋体"/>
          <w:color w:val="auto"/>
          <w:sz w:val="24"/>
        </w:rPr>
        <w:t>。</w:t>
      </w:r>
      <w:r>
        <w:rPr>
          <w:rFonts w:hint="eastAsia" w:ascii="宋体" w:hAnsi="宋体"/>
          <w:color w:val="auto"/>
          <w:sz w:val="24"/>
        </w:rPr>
        <w:t>该断层北盘上升，南盘下降，为</w:t>
      </w:r>
      <w:r>
        <w:rPr>
          <w:rFonts w:ascii="宋体" w:hAnsi="宋体"/>
          <w:color w:val="auto"/>
          <w:sz w:val="24"/>
        </w:rPr>
        <w:t>侏罗系下部地层</w:t>
      </w:r>
      <w:r>
        <w:rPr>
          <w:rFonts w:hint="eastAsia" w:ascii="宋体" w:hAnsi="宋体"/>
          <w:color w:val="auto"/>
          <w:sz w:val="24"/>
        </w:rPr>
        <w:t>往南</w:t>
      </w:r>
      <w:r>
        <w:rPr>
          <w:rFonts w:ascii="宋体" w:hAnsi="宋体"/>
          <w:color w:val="auto"/>
          <w:sz w:val="24"/>
        </w:rPr>
        <w:t>逆冲于白垩系或侏罗系上部地层之上。上盘地层倾角平缓，一般在10～20°之间；下盘地层倾角较陡，一般</w:t>
      </w:r>
      <w:r>
        <w:rPr>
          <w:rFonts w:hint="eastAsia" w:ascii="宋体" w:hAnsi="宋体"/>
          <w:color w:val="auto"/>
          <w:sz w:val="24"/>
        </w:rPr>
        <w:t>25</w:t>
      </w:r>
      <w:r>
        <w:rPr>
          <w:rFonts w:ascii="宋体" w:hAnsi="宋体"/>
          <w:color w:val="auto"/>
          <w:sz w:val="24"/>
        </w:rPr>
        <w:t>～</w:t>
      </w:r>
      <w:r>
        <w:rPr>
          <w:rFonts w:hint="eastAsia" w:ascii="宋体" w:hAnsi="宋体"/>
          <w:color w:val="auto"/>
          <w:sz w:val="24"/>
        </w:rPr>
        <w:t>45</w:t>
      </w:r>
      <w:r>
        <w:rPr>
          <w:rFonts w:ascii="宋体" w:hAnsi="宋体"/>
          <w:color w:val="auto"/>
          <w:sz w:val="24"/>
        </w:rPr>
        <w:t>°</w:t>
      </w:r>
      <w:r>
        <w:rPr>
          <w:rFonts w:hint="eastAsia" w:ascii="宋体" w:hAnsi="宋体"/>
          <w:color w:val="auto"/>
          <w:sz w:val="24"/>
        </w:rPr>
        <w:t>，</w:t>
      </w:r>
      <w:r>
        <w:rPr>
          <w:rFonts w:ascii="宋体" w:hAnsi="宋体"/>
          <w:color w:val="auto"/>
          <w:sz w:val="24"/>
        </w:rPr>
        <w:t>断层附近一般在60°以上。</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2.F</w:t>
      </w:r>
      <w:r>
        <w:rPr>
          <w:rFonts w:hint="eastAsia" w:ascii="宋体" w:hAnsi="宋体" w:eastAsia="宋体" w:cs="宋体"/>
          <w:color w:val="auto"/>
          <w:sz w:val="24"/>
          <w:szCs w:val="20"/>
          <w:highlight w:val="none"/>
          <w:vertAlign w:val="subscript"/>
          <w:lang w:val="en-US" w:eastAsia="zh-CN"/>
        </w:rPr>
        <w:t>15</w:t>
      </w:r>
      <w:r>
        <w:rPr>
          <w:rFonts w:hint="eastAsia" w:ascii="宋体" w:hAnsi="宋体" w:eastAsia="宋体" w:cs="宋体"/>
          <w:color w:val="auto"/>
          <w:sz w:val="24"/>
          <w:szCs w:val="20"/>
          <w:highlight w:val="none"/>
          <w:lang w:val="en-US" w:eastAsia="zh-CN"/>
        </w:rPr>
        <w:t>逆断层：位于井田北部，它由红会四矿往南延入本矿井，最后进入南部穹隆构造无煤区，是矿井内部规模最大的断层。走向335°，倾向SW，倾角47～68°，落差65～100m，长度大于2.43km。49号孔见到该断层，并使煤层重复。三维地震勘探对该断层控制较好，属可靠断层。F</w:t>
      </w:r>
      <w:r>
        <w:rPr>
          <w:rFonts w:hint="eastAsia" w:ascii="宋体" w:hAnsi="宋体" w:eastAsia="宋体" w:cs="宋体"/>
          <w:color w:val="auto"/>
          <w:sz w:val="24"/>
          <w:szCs w:val="20"/>
          <w:highlight w:val="none"/>
          <w:vertAlign w:val="subscript"/>
          <w:lang w:val="en-US" w:eastAsia="zh-CN"/>
        </w:rPr>
        <w:t>15</w:t>
      </w:r>
      <w:r>
        <w:rPr>
          <w:rFonts w:hint="eastAsia" w:ascii="宋体" w:hAnsi="宋体" w:eastAsia="宋体" w:cs="宋体"/>
          <w:color w:val="auto"/>
          <w:sz w:val="24"/>
          <w:szCs w:val="20"/>
          <w:highlight w:val="none"/>
          <w:lang w:val="en-US" w:eastAsia="zh-CN"/>
        </w:rPr>
        <w:t>西邻褶皱较为紧闭的下庄背斜，两者关系密切，应具成因联系。</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3.F</w:t>
      </w:r>
      <w:r>
        <w:rPr>
          <w:rFonts w:hint="eastAsia" w:ascii="宋体" w:hAnsi="宋体" w:eastAsia="宋体" w:cs="宋体"/>
          <w:color w:val="auto"/>
          <w:sz w:val="24"/>
          <w:szCs w:val="20"/>
          <w:highlight w:val="none"/>
          <w:vertAlign w:val="subscript"/>
          <w:lang w:val="en-US" w:eastAsia="zh-CN"/>
        </w:rPr>
        <w:t>2-1</w:t>
      </w:r>
      <w:r>
        <w:rPr>
          <w:rFonts w:hint="eastAsia" w:ascii="宋体" w:hAnsi="宋体" w:eastAsia="宋体" w:cs="宋体"/>
          <w:color w:val="auto"/>
          <w:sz w:val="24"/>
          <w:szCs w:val="20"/>
          <w:highlight w:val="none"/>
          <w:lang w:val="en-US" w:eastAsia="zh-CN"/>
        </w:rPr>
        <w:t>逆断层：位于井田西南部，F</w:t>
      </w:r>
      <w:r>
        <w:rPr>
          <w:rFonts w:hint="eastAsia" w:ascii="宋体" w:hAnsi="宋体" w:eastAsia="宋体" w:cs="宋体"/>
          <w:color w:val="auto"/>
          <w:sz w:val="24"/>
          <w:szCs w:val="20"/>
          <w:highlight w:val="none"/>
          <w:vertAlign w:val="subscript"/>
          <w:lang w:val="en-US" w:eastAsia="zh-CN"/>
        </w:rPr>
        <w:t>5</w:t>
      </w:r>
      <w:r>
        <w:rPr>
          <w:rFonts w:hint="eastAsia" w:ascii="宋体" w:hAnsi="宋体" w:eastAsia="宋体" w:cs="宋体"/>
          <w:color w:val="auto"/>
          <w:sz w:val="24"/>
          <w:szCs w:val="20"/>
          <w:highlight w:val="none"/>
          <w:lang w:val="en-US" w:eastAsia="zh-CN"/>
        </w:rPr>
        <w:t>逆断层以北。走向278°，倾向NE，倾角82°，落差20～24m。该断层在井巷中多处见及，下盘牵引现象严重，对生产影响较大。该断层在平面上略呈往北凸出的弧形，与南侧的F</w:t>
      </w:r>
      <w:r>
        <w:rPr>
          <w:rFonts w:hint="eastAsia" w:ascii="宋体" w:hAnsi="宋体" w:eastAsia="宋体" w:cs="宋体"/>
          <w:color w:val="auto"/>
          <w:sz w:val="24"/>
          <w:szCs w:val="20"/>
          <w:highlight w:val="none"/>
          <w:vertAlign w:val="subscript"/>
          <w:lang w:val="en-US" w:eastAsia="zh-CN"/>
        </w:rPr>
        <w:t>5</w:t>
      </w:r>
      <w:r>
        <w:rPr>
          <w:rFonts w:hint="eastAsia" w:ascii="宋体" w:hAnsi="宋体" w:eastAsia="宋体" w:cs="宋体"/>
          <w:color w:val="auto"/>
          <w:sz w:val="24"/>
          <w:szCs w:val="20"/>
          <w:highlight w:val="none"/>
          <w:lang w:val="en-US" w:eastAsia="zh-CN"/>
        </w:rPr>
        <w:t>逆断层平行，推测它们是在同一应力场中的产物。</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4.DF</w:t>
      </w:r>
      <w:r>
        <w:rPr>
          <w:rFonts w:hint="eastAsia" w:ascii="宋体" w:hAnsi="宋体" w:eastAsia="宋体" w:cs="宋体"/>
          <w:color w:val="auto"/>
          <w:sz w:val="24"/>
          <w:szCs w:val="20"/>
          <w:highlight w:val="none"/>
          <w:vertAlign w:val="subscript"/>
          <w:lang w:val="en-US" w:eastAsia="zh-CN"/>
        </w:rPr>
        <w:t>1</w:t>
      </w:r>
      <w:r>
        <w:rPr>
          <w:rFonts w:hint="eastAsia" w:ascii="宋体" w:hAnsi="宋体" w:eastAsia="宋体" w:cs="宋体"/>
          <w:color w:val="auto"/>
          <w:sz w:val="24"/>
          <w:szCs w:val="20"/>
          <w:highlight w:val="none"/>
          <w:lang w:val="en-US" w:eastAsia="zh-CN"/>
        </w:rPr>
        <w:t>断层：位于本井田的南部，形成本井田的南部边界，为地震解释断层。断层走向在18勘探线以东N65°W，与F</w:t>
      </w:r>
      <w:r>
        <w:rPr>
          <w:rFonts w:hint="eastAsia" w:ascii="宋体" w:hAnsi="宋体" w:eastAsia="宋体" w:cs="宋体"/>
          <w:color w:val="auto"/>
          <w:sz w:val="24"/>
          <w:szCs w:val="20"/>
          <w:highlight w:val="none"/>
          <w:vertAlign w:val="subscript"/>
          <w:lang w:val="en-US" w:eastAsia="zh-CN"/>
        </w:rPr>
        <w:t>1h</w:t>
      </w:r>
      <w:r>
        <w:rPr>
          <w:rFonts w:hint="eastAsia" w:ascii="宋体" w:hAnsi="宋体" w:eastAsia="宋体" w:cs="宋体"/>
          <w:color w:val="auto"/>
          <w:sz w:val="24"/>
          <w:szCs w:val="20"/>
          <w:highlight w:val="none"/>
          <w:lang w:val="en-US" w:eastAsia="zh-CN"/>
        </w:rPr>
        <w:t>断层基本平行，以西转为N40°W，并交与F</w:t>
      </w:r>
      <w:r>
        <w:rPr>
          <w:rFonts w:hint="eastAsia" w:ascii="宋体" w:hAnsi="宋体" w:eastAsia="宋体" w:cs="宋体"/>
          <w:color w:val="auto"/>
          <w:sz w:val="24"/>
          <w:szCs w:val="20"/>
          <w:highlight w:val="none"/>
          <w:vertAlign w:val="subscript"/>
          <w:lang w:val="en-US" w:eastAsia="zh-CN"/>
        </w:rPr>
        <w:t>1h</w:t>
      </w:r>
      <w:r>
        <w:rPr>
          <w:rFonts w:hint="eastAsia" w:ascii="宋体" w:hAnsi="宋体" w:eastAsia="宋体" w:cs="宋体"/>
          <w:color w:val="auto"/>
          <w:sz w:val="24"/>
          <w:szCs w:val="20"/>
          <w:highlight w:val="none"/>
          <w:lang w:val="en-US" w:eastAsia="zh-CN"/>
        </w:rPr>
        <w:t>断层；倾向NE，倾角61～72°。该断层北盘上升，南盘下降，断层落差由东向西逐渐变大，推断落差100m以上；断层延伸长度3000m以上，且向东延伸出矿权区外，是F</w:t>
      </w:r>
      <w:r>
        <w:rPr>
          <w:rFonts w:hint="eastAsia" w:ascii="宋体" w:hAnsi="宋体" w:eastAsia="宋体" w:cs="宋体"/>
          <w:color w:val="auto"/>
          <w:sz w:val="24"/>
          <w:szCs w:val="20"/>
          <w:highlight w:val="none"/>
          <w:vertAlign w:val="subscript"/>
          <w:lang w:val="en-US" w:eastAsia="zh-CN"/>
        </w:rPr>
        <w:t>5</w:t>
      </w:r>
      <w:r>
        <w:rPr>
          <w:rFonts w:hint="eastAsia" w:ascii="宋体" w:hAnsi="宋体" w:eastAsia="宋体" w:cs="宋体"/>
          <w:color w:val="auto"/>
          <w:sz w:val="24"/>
          <w:szCs w:val="20"/>
          <w:highlight w:val="none"/>
          <w:lang w:val="en-US" w:eastAsia="zh-CN"/>
        </w:rPr>
        <w:t>断层的派生断层，在成因上有一定的联系。</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outlineLvl w:val="9"/>
        <w:rPr>
          <w:rFonts w:hint="eastAsia" w:ascii="宋体" w:hAnsi="宋体"/>
          <w:b/>
          <w:color w:val="auto"/>
          <w:sz w:val="24"/>
        </w:rPr>
      </w:pPr>
      <w:r>
        <w:rPr>
          <w:rFonts w:hint="eastAsia" w:ascii="宋体" w:hAnsi="宋体"/>
          <w:b/>
          <w:color w:val="auto"/>
          <w:sz w:val="24"/>
          <w:lang w:val="en-US" w:eastAsia="zh-CN"/>
        </w:rPr>
        <w:t>三</w:t>
      </w:r>
      <w:r>
        <w:rPr>
          <w:rFonts w:hint="eastAsia" w:ascii="宋体" w:hAnsi="宋体"/>
          <w:b/>
          <w:color w:val="auto"/>
          <w:sz w:val="24"/>
        </w:rPr>
        <w:t>、煤层及煤质</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hint="eastAsia" w:ascii="宋体" w:hAnsi="宋体"/>
          <w:color w:val="auto"/>
          <w:sz w:val="24"/>
        </w:rPr>
        <w:t>（一）煤层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宋体" w:hAnsi="宋体"/>
          <w:color w:val="auto"/>
          <w:sz w:val="24"/>
        </w:rPr>
      </w:pPr>
      <w:r>
        <w:rPr>
          <w:rFonts w:hint="eastAsia" w:ascii="宋体" w:hAnsi="宋体"/>
          <w:color w:val="auto"/>
          <w:sz w:val="24"/>
          <w:lang w:eastAsia="zh-CN"/>
        </w:rPr>
        <w:t>南翼井田</w:t>
      </w:r>
      <w:r>
        <w:rPr>
          <w:rFonts w:ascii="宋体" w:hAnsi="宋体"/>
          <w:color w:val="auto"/>
          <w:sz w:val="24"/>
        </w:rPr>
        <w:t>范围内只含一层煤，编号为一层煤，赋存于中侏罗统窑街组（</w:t>
      </w:r>
      <w:r>
        <w:rPr>
          <w:rFonts w:hint="default" w:ascii="Times New Roman" w:hAnsi="Times New Roman" w:cs="Times New Roman"/>
          <w:color w:val="auto"/>
          <w:sz w:val="24"/>
        </w:rPr>
        <w:t>J</w:t>
      </w:r>
      <w:r>
        <w:rPr>
          <w:rFonts w:hint="default" w:ascii="Times New Roman" w:hAnsi="Times New Roman" w:cs="Times New Roman"/>
          <w:i/>
          <w:iCs/>
          <w:color w:val="auto"/>
          <w:sz w:val="24"/>
          <w:vertAlign w:val="subscript"/>
        </w:rPr>
        <w:t>2y</w:t>
      </w:r>
      <w:r>
        <w:rPr>
          <w:rFonts w:ascii="宋体" w:hAnsi="宋体"/>
          <w:color w:val="auto"/>
          <w:sz w:val="24"/>
        </w:rPr>
        <w:t>）的</w:t>
      </w:r>
      <w:r>
        <w:rPr>
          <w:rFonts w:hint="eastAsia" w:ascii="宋体" w:hAnsi="宋体"/>
          <w:color w:val="auto"/>
          <w:sz w:val="24"/>
        </w:rPr>
        <w:t>中</w:t>
      </w:r>
      <w:r>
        <w:rPr>
          <w:rFonts w:ascii="宋体" w:hAnsi="宋体"/>
          <w:color w:val="auto"/>
          <w:sz w:val="24"/>
        </w:rPr>
        <w:t>部。煤层为全区分布的可采煤层，具有东薄西厚的赋存特征</w:t>
      </w:r>
      <w:r>
        <w:rPr>
          <w:rFonts w:hint="eastAsia" w:ascii="宋体" w:hAnsi="宋体"/>
          <w:color w:val="auto"/>
          <w:sz w:val="24"/>
        </w:rPr>
        <w:t>，较稳定。煤层结构单一，只在局部含1</w:t>
      </w:r>
      <w:r>
        <w:rPr>
          <w:rFonts w:ascii="宋体" w:hAnsi="宋体"/>
          <w:color w:val="auto"/>
          <w:sz w:val="24"/>
        </w:rPr>
        <w:t>～</w:t>
      </w:r>
      <w:r>
        <w:rPr>
          <w:rFonts w:hint="eastAsia" w:ascii="宋体" w:hAnsi="宋体"/>
          <w:color w:val="auto"/>
          <w:sz w:val="24"/>
        </w:rPr>
        <w:t>3层厚度在1m以内的夹矸。煤层倾角在25～</w:t>
      </w:r>
      <w:r>
        <w:rPr>
          <w:rFonts w:hint="eastAsia" w:ascii="宋体" w:hAnsi="宋体"/>
          <w:color w:val="auto"/>
          <w:sz w:val="24"/>
          <w:lang w:val="en-US" w:eastAsia="zh-CN"/>
        </w:rPr>
        <w:t>7</w:t>
      </w:r>
      <w:r>
        <w:rPr>
          <w:rFonts w:hint="eastAsia" w:ascii="宋体" w:hAnsi="宋体"/>
          <w:color w:val="auto"/>
          <w:sz w:val="24"/>
        </w:rPr>
        <w:t>5°之间。煤层</w:t>
      </w:r>
      <w:r>
        <w:rPr>
          <w:rFonts w:ascii="宋体" w:hAnsi="宋体"/>
          <w:color w:val="auto"/>
          <w:sz w:val="24"/>
        </w:rPr>
        <w:t>厚度</w:t>
      </w:r>
      <w:r>
        <w:rPr>
          <w:rFonts w:hint="eastAsia" w:ascii="宋体" w:hAnsi="宋体"/>
          <w:color w:val="auto"/>
          <w:sz w:val="24"/>
        </w:rPr>
        <w:t>0</w:t>
      </w:r>
      <w:r>
        <w:rPr>
          <w:rFonts w:ascii="宋体" w:hAnsi="宋体"/>
          <w:color w:val="auto"/>
          <w:sz w:val="24"/>
        </w:rPr>
        <w:t>～46.58m，一般14～3</w:t>
      </w:r>
      <w:r>
        <w:rPr>
          <w:rFonts w:hint="eastAsia" w:ascii="宋体" w:hAnsi="宋体"/>
          <w:color w:val="auto"/>
          <w:sz w:val="24"/>
          <w:lang w:val="en-US" w:eastAsia="zh-CN"/>
        </w:rPr>
        <w:t>6</w:t>
      </w:r>
      <w:r>
        <w:rPr>
          <w:rFonts w:ascii="宋体" w:hAnsi="宋体"/>
          <w:color w:val="auto"/>
          <w:sz w:val="24"/>
        </w:rPr>
        <w:t>m，平均厚度</w:t>
      </w:r>
      <w:r>
        <w:rPr>
          <w:rFonts w:hint="eastAsia" w:ascii="宋体" w:hAnsi="宋体"/>
          <w:color w:val="auto"/>
          <w:sz w:val="24"/>
        </w:rPr>
        <w:t>25</w:t>
      </w:r>
      <w:r>
        <w:rPr>
          <w:rFonts w:ascii="宋体" w:hAnsi="宋体"/>
          <w:color w:val="auto"/>
          <w:sz w:val="24"/>
        </w:rPr>
        <w:t>m</w:t>
      </w:r>
      <w:r>
        <w:rPr>
          <w:rFonts w:hint="eastAsia" w:ascii="宋体" w:hAnsi="宋体"/>
          <w:color w:val="auto"/>
          <w:sz w:val="24"/>
        </w:rPr>
        <w:t>，</w:t>
      </w:r>
      <w:r>
        <w:rPr>
          <w:rFonts w:ascii="宋体" w:hAnsi="宋体"/>
          <w:color w:val="auto"/>
          <w:sz w:val="24"/>
        </w:rPr>
        <w:t>含煤系数</w:t>
      </w:r>
      <w:r>
        <w:rPr>
          <w:rFonts w:hint="eastAsia" w:ascii="宋体" w:hAnsi="宋体"/>
          <w:color w:val="auto"/>
          <w:sz w:val="24"/>
        </w:rPr>
        <w:t>50.7</w:t>
      </w:r>
      <w:r>
        <w:rPr>
          <w:rFonts w:ascii="宋体" w:hAnsi="宋体"/>
          <w:color w:val="auto"/>
          <w:sz w:val="24"/>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宋体" w:hAnsi="宋体"/>
          <w:color w:val="auto"/>
          <w:sz w:val="24"/>
        </w:rPr>
      </w:pPr>
      <w:r>
        <w:rPr>
          <w:rFonts w:hint="eastAsia" w:ascii="宋体" w:hAnsi="宋体"/>
          <w:color w:val="auto"/>
          <w:sz w:val="24"/>
        </w:rPr>
        <w:t>（二）煤质</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宋体" w:hAnsi="宋体"/>
          <w:color w:val="auto"/>
          <w:sz w:val="24"/>
        </w:rPr>
      </w:pPr>
      <w:r>
        <w:rPr>
          <w:rFonts w:hint="eastAsia" w:ascii="宋体" w:hAnsi="宋体"/>
          <w:color w:val="auto"/>
          <w:sz w:val="24"/>
        </w:rPr>
        <w:t>1.煤的物理性质</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ascii="宋体" w:hAnsi="宋体"/>
          <w:color w:val="auto"/>
          <w:sz w:val="24"/>
        </w:rPr>
      </w:pPr>
      <w:r>
        <w:rPr>
          <w:rFonts w:ascii="宋体" w:hAnsi="宋体"/>
          <w:color w:val="auto"/>
          <w:sz w:val="24"/>
        </w:rPr>
        <w:t>一层煤</w:t>
      </w:r>
      <w:r>
        <w:rPr>
          <w:rFonts w:hint="eastAsia" w:ascii="宋体" w:hAnsi="宋体"/>
          <w:color w:val="auto"/>
          <w:sz w:val="24"/>
        </w:rPr>
        <w:t>为黑色，条痕黑褐色。</w:t>
      </w:r>
      <w:r>
        <w:rPr>
          <w:rFonts w:ascii="宋体" w:hAnsi="宋体"/>
          <w:color w:val="auto"/>
          <w:sz w:val="24"/>
        </w:rPr>
        <w:t>具带状和均一结构，节理不发育，裂隙中有少量黄铁矿薄膜充填。煤岩类型以半暗型为主，次为半亮型，光亮型及暗淡型很少。煤岩组分由下而上</w:t>
      </w:r>
      <w:r>
        <w:rPr>
          <w:rFonts w:hint="eastAsia" w:ascii="宋体" w:hAnsi="宋体"/>
          <w:color w:val="auto"/>
          <w:sz w:val="24"/>
        </w:rPr>
        <w:t>呈</w:t>
      </w:r>
      <w:r>
        <w:rPr>
          <w:rFonts w:ascii="宋体" w:hAnsi="宋体"/>
          <w:color w:val="auto"/>
          <w:sz w:val="24"/>
        </w:rPr>
        <w:t>半亮型</w:t>
      </w:r>
      <w:r>
        <w:rPr>
          <w:rFonts w:hint="eastAsia" w:ascii="宋体" w:hAnsi="宋体"/>
          <w:color w:val="auto"/>
          <w:sz w:val="24"/>
          <w:lang w:val="en-US" w:eastAsia="zh-CN"/>
        </w:rPr>
        <w:t>-</w:t>
      </w:r>
      <w:r>
        <w:rPr>
          <w:rFonts w:ascii="宋体" w:hAnsi="宋体"/>
          <w:color w:val="auto"/>
          <w:sz w:val="24"/>
        </w:rPr>
        <w:t>半暗型</w:t>
      </w:r>
      <w:r>
        <w:rPr>
          <w:rFonts w:hint="eastAsia" w:ascii="宋体" w:hAnsi="宋体"/>
          <w:color w:val="auto"/>
          <w:sz w:val="24"/>
          <w:lang w:val="en-US" w:eastAsia="zh-CN"/>
        </w:rPr>
        <w:t>-</w:t>
      </w:r>
      <w:r>
        <w:rPr>
          <w:rFonts w:ascii="宋体" w:hAnsi="宋体"/>
          <w:color w:val="auto"/>
          <w:sz w:val="24"/>
        </w:rPr>
        <w:t>半亮型的变化。</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宋体" w:hAnsi="宋体"/>
          <w:color w:val="auto"/>
          <w:sz w:val="24"/>
          <w:highlight w:val="none"/>
        </w:rPr>
      </w:pPr>
      <w:r>
        <w:rPr>
          <w:rFonts w:hint="eastAsia" w:ascii="宋体" w:hAnsi="宋体"/>
          <w:color w:val="auto"/>
          <w:sz w:val="24"/>
          <w:highlight w:val="none"/>
        </w:rPr>
        <w:t>2.煤的化学性质</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宋体" w:hAnsi="宋体"/>
          <w:color w:val="auto"/>
          <w:sz w:val="24"/>
          <w:highlight w:val="none"/>
        </w:rPr>
      </w:pPr>
      <w:r>
        <w:rPr>
          <w:rFonts w:ascii="宋体" w:hAnsi="宋体"/>
          <w:color w:val="auto"/>
          <w:sz w:val="24"/>
        </w:rPr>
        <w:t>一层煤</w:t>
      </w:r>
      <w:r>
        <w:rPr>
          <w:rFonts w:hint="eastAsia" w:ascii="宋体" w:hAnsi="宋体"/>
          <w:color w:val="auto"/>
          <w:sz w:val="24"/>
          <w:highlight w:val="none"/>
        </w:rPr>
        <w:t>总体为低灰、低硫、特低磷、高热值煤；其中浅部灰分和硫分相对较高、热值略低，而中深部灰分和硫分更低、热值更高，东部区域水分略大、热值略低。</w:t>
      </w:r>
    </w:p>
    <w:p>
      <w:pPr>
        <w:keepNext w:val="0"/>
        <w:keepLines w:val="0"/>
        <w:pageBreakBefore w:val="0"/>
        <w:widowControl w:val="0"/>
        <w:tabs>
          <w:tab w:val="left" w:pos="1920"/>
        </w:tabs>
        <w:kinsoku/>
        <w:wordWrap/>
        <w:overflowPunct/>
        <w:topLinePunct w:val="0"/>
        <w:autoSpaceDE/>
        <w:autoSpaceDN/>
        <w:bidi w:val="0"/>
        <w:adjustRightInd/>
        <w:snapToGrid/>
        <w:spacing w:line="560" w:lineRule="exact"/>
        <w:ind w:firstLine="480" w:firstLineChars="200"/>
        <w:outlineLvl w:val="9"/>
        <w:rPr>
          <w:rFonts w:ascii="宋体" w:hAnsi="宋体"/>
          <w:color w:val="auto"/>
          <w:sz w:val="24"/>
          <w:highlight w:val="none"/>
        </w:rPr>
      </w:pPr>
      <w:r>
        <w:rPr>
          <w:rFonts w:ascii="宋体" w:hAnsi="宋体"/>
          <w:color w:val="auto"/>
          <w:sz w:val="24"/>
          <w:highlight w:val="none"/>
        </w:rPr>
        <w:t>综上所述，一层煤是低中灰、中高挥发分、低硫、低磷、高热值的优质动力用煤。</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outlineLvl w:val="9"/>
        <w:rPr>
          <w:rFonts w:hint="eastAsia" w:ascii="宋体" w:hAnsi="宋体" w:eastAsia="宋体"/>
          <w:b/>
          <w:bCs/>
          <w:color w:val="auto"/>
          <w:sz w:val="24"/>
          <w:highlight w:val="none"/>
          <w:lang w:val="en-US" w:eastAsia="zh-CN"/>
        </w:rPr>
      </w:pPr>
      <w:r>
        <w:rPr>
          <w:rFonts w:hint="eastAsia" w:ascii="宋体" w:hAnsi="宋体"/>
          <w:b/>
          <w:bCs/>
          <w:color w:val="auto"/>
          <w:sz w:val="24"/>
          <w:highlight w:val="none"/>
          <w:lang w:val="en-US" w:eastAsia="zh-CN"/>
        </w:rPr>
        <w:t>四、</w:t>
      </w:r>
      <w:r>
        <w:rPr>
          <w:rFonts w:hint="eastAsia" w:ascii="宋体" w:hAnsi="宋体"/>
          <w:b/>
          <w:bCs/>
          <w:color w:val="auto"/>
          <w:sz w:val="24"/>
          <w:highlight w:val="none"/>
        </w:rPr>
        <w:t>顶底板</w:t>
      </w:r>
      <w:r>
        <w:rPr>
          <w:rFonts w:hint="eastAsia" w:ascii="宋体" w:hAnsi="宋体"/>
          <w:b/>
          <w:bCs/>
          <w:color w:val="auto"/>
          <w:sz w:val="24"/>
          <w:highlight w:val="none"/>
          <w:lang w:val="en-US" w:eastAsia="zh-CN"/>
        </w:rPr>
        <w:t>赋存条件</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1.一层煤顶板有三种类型：</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（1）以钙质胶结为主，铁质胶结为辅的细砂岩、砂砾岩，成份以石英为主，次为长石，分选性差，局部裂隙发育，比重2.62t/m</w:t>
      </w:r>
      <w:r>
        <w:rPr>
          <w:rFonts w:hint="eastAsia" w:ascii="宋体" w:hAnsi="宋体" w:eastAsia="宋体" w:cs="宋体"/>
          <w:color w:val="auto"/>
          <w:sz w:val="24"/>
          <w:szCs w:val="20"/>
          <w:highlight w:val="none"/>
          <w:vertAlign w:val="superscript"/>
          <w:lang w:val="en-US" w:eastAsia="zh-CN"/>
        </w:rPr>
        <w:t>3</w:t>
      </w:r>
      <w:r>
        <w:rPr>
          <w:rFonts w:hint="eastAsia" w:ascii="宋体" w:hAnsi="宋体" w:eastAsia="宋体" w:cs="宋体"/>
          <w:color w:val="auto"/>
          <w:sz w:val="24"/>
          <w:szCs w:val="20"/>
          <w:highlight w:val="none"/>
          <w:lang w:val="en-US" w:eastAsia="zh-CN"/>
        </w:rPr>
        <w:t>，孔隙率11.8%，抗压强度42.3～64.3MPa，抗拉强度11.2MPa，内摩擦角35°34′，普氏系数4～6,为稳固性较好的顶板。</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（2）以泥质胶结为主的粗砂岩、砂砾岩，属河床相松散堆积，胶结性差，未固结成坚硬岩石，抗压强度10.0～30.0MPa，普氏系数1～3，为稳固性差的顶板。</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（3）泥岩、砂质泥岩及粉砂岩，比重2.59t/m</w:t>
      </w:r>
      <w:r>
        <w:rPr>
          <w:rFonts w:hint="eastAsia" w:ascii="宋体" w:hAnsi="宋体" w:eastAsia="宋体" w:cs="宋体"/>
          <w:color w:val="auto"/>
          <w:sz w:val="24"/>
          <w:szCs w:val="20"/>
          <w:highlight w:val="none"/>
          <w:vertAlign w:val="superscript"/>
          <w:lang w:val="en-US" w:eastAsia="zh-CN"/>
        </w:rPr>
        <w:t>3</w:t>
      </w:r>
      <w:r>
        <w:rPr>
          <w:rFonts w:hint="eastAsia" w:ascii="宋体" w:hAnsi="宋体" w:eastAsia="宋体" w:cs="宋体"/>
          <w:color w:val="auto"/>
          <w:sz w:val="24"/>
          <w:szCs w:val="20"/>
          <w:highlight w:val="none"/>
          <w:lang w:val="en-US" w:eastAsia="zh-CN"/>
        </w:rPr>
        <w:t>，孔隙率4.63%，抗压强度30.0～43.4MPa，为稳固性较差的顶板。</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前两种顶板分布面积大，后者分布面积小。根据矿井地质条件分类，顶板类别为Ⅱ类。</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cs="宋体"/>
          <w:color w:val="auto"/>
          <w:sz w:val="24"/>
          <w:szCs w:val="20"/>
          <w:highlight w:val="none"/>
          <w:lang w:val="en-US" w:eastAsia="zh-CN"/>
        </w:rPr>
        <w:t>2</w:t>
      </w:r>
      <w:r>
        <w:rPr>
          <w:rFonts w:hint="eastAsia" w:ascii="宋体" w:hAnsi="宋体" w:eastAsia="宋体" w:cs="宋体"/>
          <w:color w:val="auto"/>
          <w:sz w:val="24"/>
          <w:szCs w:val="20"/>
          <w:highlight w:val="none"/>
          <w:lang w:val="en-US" w:eastAsia="zh-CN"/>
        </w:rPr>
        <w:t>.一层煤底板有四种类型：</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（1）细砂岩为主，个别为中粗砂岩类，含白云母，黄铁矿及植物碎屑，泥质或钙质胶结,层理发育，砂砾为石英，变质岩屑，质地坚硬，普氏系数4～6。</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eastAsia="宋体" w:cs="宋体"/>
          <w:color w:val="auto"/>
          <w:sz w:val="24"/>
          <w:szCs w:val="20"/>
          <w:highlight w:val="none"/>
          <w:lang w:val="en-US" w:eastAsia="zh-CN"/>
        </w:rPr>
      </w:pPr>
      <w:r>
        <w:rPr>
          <w:rFonts w:hint="eastAsia" w:ascii="宋体" w:hAnsi="宋体" w:eastAsia="宋体" w:cs="宋体"/>
          <w:color w:val="auto"/>
          <w:sz w:val="24"/>
          <w:szCs w:val="20"/>
          <w:highlight w:val="none"/>
          <w:lang w:val="en-US" w:eastAsia="zh-CN"/>
        </w:rPr>
        <w:t>（2）粉砂岩及少量砂质泥岩类，含石英屑较多，云母较少，夹煤线，层理发育，结构致密，比重2.81t/m³，质脆，孔隙率5.25%，抗压强度70.7MPa，普氏系数4～7。</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color w:val="auto"/>
          <w:sz w:val="24"/>
          <w:highlight w:val="none"/>
        </w:rPr>
      </w:pPr>
      <w:r>
        <w:rPr>
          <w:rFonts w:hint="eastAsia" w:ascii="宋体" w:hAnsi="宋体"/>
          <w:color w:val="auto"/>
          <w:sz w:val="24"/>
          <w:highlight w:val="none"/>
        </w:rPr>
        <w:t>（3）泥岩及炭质泥岩类，夹煤线及植物碎屑，可塑性大，具膨帐性。</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color w:val="auto"/>
          <w:sz w:val="24"/>
          <w:highlight w:val="none"/>
        </w:rPr>
      </w:pPr>
      <w:r>
        <w:rPr>
          <w:rFonts w:hint="eastAsia" w:ascii="宋体" w:hAnsi="宋体"/>
          <w:color w:val="auto"/>
          <w:sz w:val="24"/>
          <w:highlight w:val="none"/>
        </w:rPr>
        <w:t>（4）铝质泥岩及粘土页岩类，含少量石英细粒及植物碎屑、煤屑，鲕状结构，细腻，具有可塑性，遇水膨帐。</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color w:val="auto"/>
          <w:sz w:val="24"/>
          <w:highlight w:val="none"/>
        </w:rPr>
      </w:pPr>
      <w:r>
        <w:rPr>
          <w:rFonts w:hint="eastAsia" w:ascii="宋体" w:hAnsi="宋体"/>
          <w:color w:val="auto"/>
          <w:sz w:val="24"/>
          <w:highlight w:val="none"/>
        </w:rPr>
        <w:t>前两种底板分布面积大，后两种分布面积较小。</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outlineLvl w:val="9"/>
        <w:rPr>
          <w:rFonts w:hint="eastAsia" w:ascii="宋体" w:hAnsi="宋体"/>
          <w:b/>
          <w:color w:val="auto"/>
          <w:sz w:val="24"/>
          <w:highlight w:val="none"/>
        </w:rPr>
      </w:pPr>
      <w:r>
        <w:rPr>
          <w:rFonts w:hint="eastAsia" w:ascii="宋体" w:hAnsi="宋体"/>
          <w:b/>
          <w:color w:val="auto"/>
          <w:sz w:val="24"/>
          <w:highlight w:val="none"/>
          <w:lang w:val="en-US" w:eastAsia="zh-CN"/>
        </w:rPr>
        <w:t>五</w:t>
      </w:r>
      <w:r>
        <w:rPr>
          <w:rFonts w:hint="eastAsia" w:ascii="宋体" w:hAnsi="宋体"/>
          <w:b/>
          <w:color w:val="auto"/>
          <w:sz w:val="24"/>
          <w:highlight w:val="none"/>
        </w:rPr>
        <w:t>、水文地质</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val="en-US" w:eastAsia="zh-CN"/>
        </w:rPr>
        <w:t>根据《甘肃靖远煤电股份有限公司便函》（2021）煤电便（生）第（106）号可知，红第一煤矿分公司水文地质条件为中等。</w:t>
      </w:r>
      <w:r>
        <w:rPr>
          <w:rFonts w:hint="eastAsia" w:asciiTheme="minorEastAsia" w:hAnsiTheme="minorEastAsia" w:eastAsiaTheme="minorEastAsia" w:cstheme="minorEastAsia"/>
          <w:color w:val="auto"/>
          <w:sz w:val="24"/>
        </w:rPr>
        <w:t>整个矿区地表无常年性天然水体（如河流、湖泊等）和人工水体（如水库），只在雨季有季节性山区洪流。</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rPr>
        <w:t>矿井内地势平坦，黄土丘陵中</w:t>
      </w:r>
      <w:r>
        <w:rPr>
          <w:rFonts w:hint="eastAsia" w:asciiTheme="minorEastAsia" w:hAnsiTheme="minorEastAsia" w:eastAsiaTheme="minorEastAsia" w:cstheme="minorEastAsia"/>
          <w:color w:val="auto"/>
          <w:sz w:val="24"/>
          <w:lang w:val="en-US" w:eastAsia="zh-CN"/>
        </w:rPr>
        <w:t>沟壑</w:t>
      </w:r>
      <w:r>
        <w:rPr>
          <w:rFonts w:hint="eastAsia" w:asciiTheme="minorEastAsia" w:hAnsiTheme="minorEastAsia" w:eastAsiaTheme="minorEastAsia" w:cstheme="minorEastAsia"/>
          <w:color w:val="auto"/>
          <w:sz w:val="24"/>
        </w:rPr>
        <w:t>发育。雨季山洪暴发时，洪水均汇入沙河，水量剧增，但径流时间较短，一般几个小时以后即消失。</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eastAsia="zh-CN"/>
        </w:rPr>
        <w:t>南翼井田</w:t>
      </w:r>
      <w:r>
        <w:rPr>
          <w:rFonts w:hint="eastAsia" w:asciiTheme="minorEastAsia" w:hAnsiTheme="minorEastAsia" w:eastAsiaTheme="minorEastAsia" w:cstheme="minorEastAsia"/>
          <w:color w:val="auto"/>
          <w:sz w:val="24"/>
        </w:rPr>
        <w:t>范围内共有含水层4个，自上而下为：第四系洪积含水层、中侏罗统新河组含水层、一层煤顶板含水层、一层煤底板含水层。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一</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rPr>
        <w:t>Ⅰ含水层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rPr>
        <w:t>第四系洪积潜水含水层由第四系洪积砂砾石层及粉砂质亚粘土组成，单层厚度9～40m左右，极不稳定。砂砾石层为良好的透水层，粉砂质土为隔水层。洪积层厚度由东北向西南逐渐变薄，平均厚度20m，但水位受地形影响明显，一般只在下部含水。</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二</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rPr>
        <w:t>Ⅱ含水层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rPr>
        <w:t>中侏罗统新河组裂隙含水层下段。新河组分为上下段，上段俗称为油页岩段，岩性为紫红色、兰灰色泥岩及砂质泥岩组成，平均厚度117.10m，普遍分布，隔水性良好，是主要的隔水层。下段由中、粗粒砂岩及砂质泥岩组成，裂隙不发育，厚度44.01～274.39m，平均201.73m。为主要含水层段。</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三</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rPr>
        <w:t>Ⅲ含水层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rPr>
        <w:t>为一层煤顶板裂隙、孔隙含水层。位于新河组的底部，由含砾粗粒砂岩、砂砾岩夹砂质泥岩或泥岩组成。一般裂隙较发育，孔隙度大，绝大多数为一层煤直接顶板，纯含水层平均厚度16.77m。</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四</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rPr>
        <w:t>Ⅳ含水层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rPr>
        <w:t>井田内中侏罗统窑街组煤层底板地层较薄，平均厚度14.98m，含水层厚度更薄，平均厚度6.10m。中侏罗统窑街组、上三叠统南营儿群及中下奥陶统阴沟群共同构成煤层底板的复合含水层。煤层底板Ⅳ含水层可分为两种：</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val="en-US" w:eastAsia="zh-CN"/>
        </w:rPr>
        <w:t>1.</w:t>
      </w:r>
      <w:r>
        <w:rPr>
          <w:rFonts w:hint="eastAsia" w:asciiTheme="minorEastAsia" w:hAnsiTheme="minorEastAsia" w:eastAsiaTheme="minorEastAsia" w:cstheme="minorEastAsia"/>
          <w:color w:val="auto"/>
          <w:sz w:val="24"/>
        </w:rPr>
        <w:t>中侏罗统窑街组、上三叠统南营儿群构成的煤层底板复合含水层。中侏罗统窑街组和上三迭统南营儿群孔隙、裂隙含水层主要由粗、中、细粒砂岩、粉砂岩及砂质泥岩组成。含水层平均厚度10.70m，含水性与Ⅲ含水层相似，为富水性极弱的含水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val="en-US" w:eastAsia="zh-CN"/>
        </w:rPr>
        <w:t>2.</w:t>
      </w:r>
      <w:r>
        <w:rPr>
          <w:rFonts w:hint="eastAsia" w:asciiTheme="minorEastAsia" w:hAnsiTheme="minorEastAsia" w:eastAsiaTheme="minorEastAsia" w:cstheme="minorEastAsia"/>
          <w:color w:val="auto"/>
          <w:sz w:val="24"/>
        </w:rPr>
        <w:t>由上中侏罗统窑街组和中下奥陶统阴沟群构成的煤层底板复合含水层。一层煤底板窑街组底部，由砾岩、砂砾岩，粗、中、细粒砂岩及砂质泥岩组成，平均厚度10.70m，富水性较弱；中下奥陶统阴沟群岩性主要为变质砂岩，夹板岩，局部二者呈互层状，裂隙发育，岩芯破碎，富水性较弱。</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rPr>
        <w:t>根据甘肃</w:t>
      </w:r>
      <w:r>
        <w:rPr>
          <w:rFonts w:hint="eastAsia" w:asciiTheme="minorEastAsia" w:hAnsiTheme="minorEastAsia" w:eastAsiaTheme="minorEastAsia" w:cstheme="minorEastAsia"/>
          <w:color w:val="auto"/>
          <w:sz w:val="24"/>
          <w:lang w:val="en-US" w:eastAsia="zh-CN"/>
        </w:rPr>
        <w:t>靖煤能源有限公司红会第一煤矿分公司矿井涌水量统计表</w:t>
      </w:r>
      <w:r>
        <w:rPr>
          <w:rFonts w:hint="eastAsia" w:asciiTheme="minorEastAsia" w:hAnsiTheme="minorEastAsia" w:eastAsiaTheme="minorEastAsia" w:cstheme="minorEastAsia"/>
          <w:color w:val="auto"/>
          <w:sz w:val="24"/>
        </w:rPr>
        <w:t>（20</w:t>
      </w:r>
      <w:r>
        <w:rPr>
          <w:rFonts w:hint="eastAsia" w:asciiTheme="minorEastAsia" w:hAnsiTheme="minorEastAsia" w:eastAsiaTheme="minorEastAsia" w:cstheme="minorEastAsia"/>
          <w:color w:val="auto"/>
          <w:sz w:val="24"/>
          <w:lang w:val="en-US" w:eastAsia="zh-CN"/>
        </w:rPr>
        <w:t>25</w:t>
      </w:r>
      <w:r>
        <w:rPr>
          <w:rFonts w:hint="eastAsia" w:asciiTheme="minorEastAsia" w:hAnsiTheme="minorEastAsia" w:eastAsiaTheme="minorEastAsia" w:cstheme="minorEastAsia"/>
          <w:color w:val="auto"/>
          <w:sz w:val="24"/>
        </w:rPr>
        <w:t>年</w:t>
      </w:r>
      <w:r>
        <w:rPr>
          <w:rFonts w:hint="eastAsia" w:asciiTheme="minorEastAsia" w:hAnsiTheme="minorEastAsia" w:eastAsiaTheme="minorEastAsia" w:cstheme="minorEastAsia"/>
          <w:color w:val="auto"/>
          <w:sz w:val="24"/>
          <w:lang w:val="en-US" w:eastAsia="zh-CN"/>
        </w:rPr>
        <w:t>1</w:t>
      </w:r>
      <w:r>
        <w:rPr>
          <w:rFonts w:hint="eastAsia" w:asciiTheme="minorEastAsia" w:hAnsiTheme="minorEastAsia" w:eastAsiaTheme="minorEastAsia" w:cstheme="minorEastAsia"/>
          <w:color w:val="auto"/>
          <w:sz w:val="24"/>
        </w:rPr>
        <w:t>～</w:t>
      </w:r>
      <w:r>
        <w:rPr>
          <w:rFonts w:hint="eastAsia" w:asciiTheme="minorEastAsia" w:hAnsiTheme="minorEastAsia" w:eastAsiaTheme="minorEastAsia" w:cstheme="minorEastAsia"/>
          <w:color w:val="auto"/>
          <w:sz w:val="24"/>
          <w:lang w:val="en-US" w:eastAsia="zh-CN"/>
        </w:rPr>
        <w:t>8月</w:t>
      </w:r>
      <w:r>
        <w:rPr>
          <w:rFonts w:hint="eastAsia" w:asciiTheme="minorEastAsia" w:hAnsiTheme="minorEastAsia" w:eastAsiaTheme="minorEastAsia" w:cstheme="minorEastAsia"/>
          <w:color w:val="auto"/>
          <w:sz w:val="24"/>
        </w:rPr>
        <w:t>），预计</w:t>
      </w:r>
      <w:r>
        <w:rPr>
          <w:rFonts w:hint="eastAsia" w:asciiTheme="minorEastAsia" w:hAnsiTheme="minorEastAsia" w:eastAsiaTheme="minorEastAsia" w:cstheme="minorEastAsia"/>
          <w:color w:val="auto"/>
          <w:sz w:val="24"/>
          <w:lang w:eastAsia="zh-CN"/>
        </w:rPr>
        <w:t>南翼井田</w:t>
      </w:r>
      <w:r>
        <w:rPr>
          <w:rFonts w:hint="eastAsia" w:asciiTheme="minorEastAsia" w:hAnsiTheme="minorEastAsia" w:eastAsiaTheme="minorEastAsia" w:cstheme="minorEastAsia"/>
          <w:color w:val="auto"/>
          <w:sz w:val="24"/>
          <w:lang w:val="en-US" w:eastAsia="zh-CN"/>
        </w:rPr>
        <w:t>平均</w:t>
      </w:r>
      <w:r>
        <w:rPr>
          <w:rFonts w:hint="eastAsia" w:asciiTheme="minorEastAsia" w:hAnsiTheme="minorEastAsia" w:eastAsiaTheme="minorEastAsia" w:cstheme="minorEastAsia"/>
          <w:color w:val="auto"/>
          <w:sz w:val="24"/>
        </w:rPr>
        <w:t>正常涌水量为</w:t>
      </w:r>
      <w:r>
        <w:rPr>
          <w:rFonts w:hint="eastAsia" w:asciiTheme="minorEastAsia" w:hAnsiTheme="minorEastAsia" w:eastAsiaTheme="minorEastAsia" w:cstheme="minorEastAsia"/>
          <w:color w:val="auto"/>
          <w:sz w:val="24"/>
          <w:lang w:val="en-US" w:eastAsia="zh-CN"/>
        </w:rPr>
        <w:t>67.63</w:t>
      </w:r>
      <w:r>
        <w:rPr>
          <w:rFonts w:hint="eastAsia" w:asciiTheme="minorEastAsia" w:hAnsiTheme="minorEastAsia" w:eastAsiaTheme="minorEastAsia" w:cstheme="minorEastAsia"/>
          <w:color w:val="auto"/>
          <w:sz w:val="24"/>
        </w:rPr>
        <w:t>m</w:t>
      </w:r>
      <w:r>
        <w:rPr>
          <w:rFonts w:hint="eastAsia" w:asciiTheme="minorEastAsia" w:hAnsiTheme="minorEastAsia" w:eastAsiaTheme="minorEastAsia" w:cstheme="minorEastAsia"/>
          <w:color w:val="auto"/>
          <w:sz w:val="24"/>
          <w:vertAlign w:val="superscript"/>
        </w:rPr>
        <w:t>3</w:t>
      </w:r>
      <w:r>
        <w:rPr>
          <w:rFonts w:hint="eastAsia" w:asciiTheme="minorEastAsia" w:hAnsiTheme="minorEastAsia" w:eastAsiaTheme="minorEastAsia" w:cstheme="minorEastAsia"/>
          <w:color w:val="auto"/>
          <w:sz w:val="24"/>
        </w:rPr>
        <w:t>/h，最大涌水量为</w:t>
      </w:r>
      <w:r>
        <w:rPr>
          <w:rFonts w:hint="eastAsia" w:asciiTheme="minorEastAsia" w:hAnsiTheme="minorEastAsia" w:eastAsiaTheme="minorEastAsia" w:cstheme="minorEastAsia"/>
          <w:color w:val="auto"/>
          <w:sz w:val="24"/>
          <w:lang w:val="en-US" w:eastAsia="zh-CN"/>
        </w:rPr>
        <w:t>101.45</w:t>
      </w:r>
      <w:r>
        <w:rPr>
          <w:rFonts w:hint="eastAsia" w:asciiTheme="minorEastAsia" w:hAnsiTheme="minorEastAsia" w:eastAsiaTheme="minorEastAsia" w:cstheme="minorEastAsia"/>
          <w:color w:val="auto"/>
          <w:sz w:val="24"/>
        </w:rPr>
        <w:t>m</w:t>
      </w:r>
      <w:r>
        <w:rPr>
          <w:rFonts w:hint="eastAsia" w:asciiTheme="minorEastAsia" w:hAnsiTheme="minorEastAsia" w:eastAsiaTheme="minorEastAsia" w:cstheme="minorEastAsia"/>
          <w:color w:val="auto"/>
          <w:sz w:val="24"/>
          <w:vertAlign w:val="superscript"/>
        </w:rPr>
        <w:t>3</w:t>
      </w:r>
      <w:r>
        <w:rPr>
          <w:rFonts w:hint="eastAsia" w:asciiTheme="minorEastAsia" w:hAnsiTheme="minorEastAsia" w:eastAsiaTheme="minorEastAsia" w:cstheme="minorEastAsia"/>
          <w:color w:val="auto"/>
          <w:sz w:val="24"/>
        </w:rPr>
        <w:t>/h。</w:t>
      </w:r>
    </w:p>
    <w:p>
      <w:pPr>
        <w:pStyle w:val="36"/>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firstLine="482" w:firstLineChars="200"/>
        <w:textAlignment w:val="auto"/>
        <w:outlineLvl w:val="9"/>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六、</w:t>
      </w:r>
      <w:bookmarkStart w:id="80" w:name="_Toc15815"/>
      <w:bookmarkStart w:id="81" w:name="_Toc287713554"/>
      <w:bookmarkStart w:id="82" w:name="_Toc27908"/>
      <w:r>
        <w:rPr>
          <w:rFonts w:hint="eastAsia" w:asciiTheme="minorEastAsia" w:hAnsiTheme="minorEastAsia" w:eastAsiaTheme="minorEastAsia" w:cstheme="minorEastAsia"/>
          <w:color w:val="auto"/>
          <w:sz w:val="24"/>
          <w:szCs w:val="24"/>
        </w:rPr>
        <w:t>煤尘爆炸性</w:t>
      </w:r>
      <w:r>
        <w:rPr>
          <w:rFonts w:hint="eastAsia" w:asciiTheme="minorEastAsia" w:hAnsiTheme="minorEastAsia" w:eastAsiaTheme="minorEastAsia" w:cstheme="minorEastAsia"/>
          <w:color w:val="auto"/>
          <w:sz w:val="24"/>
          <w:szCs w:val="24"/>
          <w:lang w:eastAsia="zh-CN"/>
        </w:rPr>
        <w:t>及</w:t>
      </w:r>
      <w:r>
        <w:rPr>
          <w:rFonts w:hint="eastAsia" w:asciiTheme="minorEastAsia" w:hAnsiTheme="minorEastAsia" w:eastAsiaTheme="minorEastAsia" w:cstheme="minorEastAsia"/>
          <w:color w:val="auto"/>
          <w:sz w:val="24"/>
          <w:szCs w:val="24"/>
        </w:rPr>
        <w:t>煤层自燃倾向性、地温</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pacing w:val="8"/>
          <w:sz w:val="24"/>
          <w:szCs w:val="24"/>
          <w:lang w:val="en-US" w:eastAsia="zh-CN"/>
        </w:rPr>
        <w:t>瓦斯</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b w:val="0"/>
          <w:bCs w:val="0"/>
          <w:color w:val="auto"/>
          <w:kern w:val="2"/>
          <w:sz w:val="24"/>
          <w:szCs w:val="24"/>
          <w:lang w:val="en-US" w:eastAsia="zh-CN" w:bidi="ar-SA"/>
        </w:rPr>
      </w:pPr>
      <w:r>
        <w:rPr>
          <w:rFonts w:hint="eastAsia" w:asciiTheme="minorEastAsia" w:hAnsiTheme="minorEastAsia" w:eastAsiaTheme="minorEastAsia" w:cstheme="minorEastAsia"/>
          <w:b w:val="0"/>
          <w:bCs w:val="0"/>
          <w:color w:val="auto"/>
          <w:kern w:val="2"/>
          <w:sz w:val="24"/>
          <w:szCs w:val="24"/>
          <w:lang w:val="en-US" w:eastAsia="zh-CN" w:bidi="ar-SA"/>
        </w:rPr>
        <w:t>（一）煤尘爆炸性及煤层自燃倾向性</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火焰长度大于400，最低岩粉量</w:t>
      </w:r>
      <w:r>
        <w:rPr>
          <w:rFonts w:hint="eastAsia" w:asciiTheme="minorEastAsia" w:hAnsiTheme="minorEastAsia" w:eastAsiaTheme="minorEastAsia" w:cstheme="minorEastAsia"/>
          <w:color w:val="auto"/>
          <w:sz w:val="24"/>
          <w:szCs w:val="24"/>
          <w:highlight w:val="none"/>
          <w:lang w:val="en-US"/>
        </w:rPr>
        <w:t>85</w:t>
      </w:r>
      <w:r>
        <w:rPr>
          <w:rFonts w:hint="eastAsia" w:asciiTheme="minorEastAsia" w:hAnsiTheme="minorEastAsia" w:eastAsiaTheme="minorEastAsia" w:cstheme="minorEastAsia"/>
          <w:color w:val="auto"/>
          <w:sz w:val="24"/>
          <w:szCs w:val="24"/>
          <w:highlight w:val="none"/>
        </w:rPr>
        <w:t>%，煤尘具有爆炸性。</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Theme="minorEastAsia" w:hAnsiTheme="minorEastAsia" w:eastAsiaTheme="minorEastAsia" w:cstheme="minorEastAsia"/>
          <w:b w:val="0"/>
          <w:bCs w:val="0"/>
          <w:color w:val="auto"/>
          <w:sz w:val="24"/>
          <w:szCs w:val="24"/>
          <w:highlight w:val="none"/>
          <w:lang w:val="en-US" w:eastAsia="zh-CN"/>
        </w:rPr>
      </w:pPr>
      <w:r>
        <w:rPr>
          <w:rFonts w:hint="eastAsia" w:asciiTheme="minorEastAsia" w:hAnsiTheme="minorEastAsia" w:eastAsiaTheme="minorEastAsia" w:cstheme="minorEastAsia"/>
          <w:b w:val="0"/>
          <w:bCs w:val="0"/>
          <w:color w:val="auto"/>
          <w:sz w:val="24"/>
          <w:szCs w:val="24"/>
          <w:highlight w:val="none"/>
          <w:lang w:val="en-US" w:eastAsia="zh-CN"/>
        </w:rPr>
        <w:t>（二）煤的自燃倾向性</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煤层自燃倾向性等级为Ⅱ级，属自燃煤层，</w:t>
      </w:r>
      <w:r>
        <w:rPr>
          <w:rFonts w:hint="eastAsia" w:asciiTheme="minorEastAsia" w:hAnsiTheme="minorEastAsia" w:eastAsiaTheme="minorEastAsia" w:cstheme="minorEastAsia"/>
          <w:b w:val="0"/>
          <w:bCs w:val="0"/>
          <w:color w:val="auto"/>
          <w:sz w:val="24"/>
          <w:szCs w:val="24"/>
          <w:highlight w:val="none"/>
          <w:lang w:val="en-US" w:eastAsia="zh-CN"/>
        </w:rPr>
        <w:t>自然</w:t>
      </w:r>
      <w:r>
        <w:rPr>
          <w:rFonts w:hint="eastAsia" w:asciiTheme="minorEastAsia" w:hAnsiTheme="minorEastAsia" w:eastAsiaTheme="minorEastAsia" w:cstheme="minorEastAsia"/>
          <w:b w:val="0"/>
          <w:bCs w:val="0"/>
          <w:color w:val="auto"/>
          <w:sz w:val="24"/>
          <w:szCs w:val="24"/>
          <w:highlight w:val="none"/>
        </w:rPr>
        <w:t>发火期为3～6个月。</w:t>
      </w:r>
    </w:p>
    <w:p>
      <w:pPr>
        <w:keepNext w:val="0"/>
        <w:keepLines w:val="0"/>
        <w:pageBreakBefore w:val="0"/>
        <w:widowControl w:val="0"/>
        <w:kinsoku/>
        <w:wordWrap/>
        <w:overflowPunct/>
        <w:topLinePunct w:val="0"/>
        <w:autoSpaceDE/>
        <w:autoSpaceDN/>
        <w:bidi w:val="0"/>
        <w:adjustRightInd/>
        <w:snapToGrid/>
        <w:spacing w:line="560" w:lineRule="exact"/>
        <w:ind w:firstLine="512" w:firstLineChars="200"/>
        <w:textAlignment w:val="auto"/>
        <w:outlineLvl w:val="9"/>
        <w:rPr>
          <w:rFonts w:hint="eastAsia" w:asciiTheme="minorEastAsia" w:hAnsiTheme="minorEastAsia" w:eastAsiaTheme="minorEastAsia" w:cstheme="minorEastAsia"/>
          <w:b w:val="0"/>
          <w:bCs w:val="0"/>
          <w:color w:val="auto"/>
          <w:spacing w:val="8"/>
          <w:sz w:val="24"/>
          <w:szCs w:val="24"/>
        </w:rPr>
      </w:pPr>
      <w:r>
        <w:rPr>
          <w:rFonts w:hint="eastAsia" w:asciiTheme="minorEastAsia" w:hAnsiTheme="minorEastAsia" w:eastAsiaTheme="minorEastAsia" w:cstheme="minorEastAsia"/>
          <w:b w:val="0"/>
          <w:bCs w:val="0"/>
          <w:color w:val="auto"/>
          <w:spacing w:val="8"/>
          <w:sz w:val="24"/>
          <w:szCs w:val="24"/>
          <w:lang w:val="en-US" w:eastAsia="zh-CN"/>
        </w:rPr>
        <w:t>（三）</w:t>
      </w:r>
      <w:r>
        <w:rPr>
          <w:rFonts w:hint="eastAsia" w:asciiTheme="minorEastAsia" w:hAnsiTheme="minorEastAsia" w:eastAsiaTheme="minorEastAsia" w:cstheme="minorEastAsia"/>
          <w:b w:val="0"/>
          <w:bCs w:val="0"/>
          <w:color w:val="auto"/>
          <w:spacing w:val="8"/>
          <w:sz w:val="24"/>
          <w:szCs w:val="24"/>
        </w:rPr>
        <w:t>地温</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color w:val="auto"/>
          <w:sz w:val="24"/>
          <w:szCs w:val="24"/>
          <w:highlight w:val="none"/>
        </w:rPr>
      </w:pPr>
      <w:bookmarkStart w:id="83" w:name="_Toc519579698"/>
      <w:bookmarkStart w:id="84" w:name="_Toc17250"/>
      <w:bookmarkStart w:id="85" w:name="_Toc2231"/>
      <w:r>
        <w:rPr>
          <w:rFonts w:hint="eastAsia" w:asciiTheme="minorEastAsia" w:hAnsiTheme="minorEastAsia" w:eastAsiaTheme="minorEastAsia" w:cstheme="minorEastAsia"/>
          <w:b w:val="0"/>
          <w:bCs w:val="0"/>
          <w:color w:val="auto"/>
          <w:sz w:val="24"/>
          <w:szCs w:val="24"/>
          <w:highlight w:val="none"/>
        </w:rPr>
        <w:t>根据井田的地温资料</w:t>
      </w:r>
      <w:r>
        <w:rPr>
          <w:rFonts w:hint="eastAsia" w:asciiTheme="minorEastAsia" w:hAnsiTheme="minorEastAsia" w:eastAsiaTheme="minorEastAsia" w:cstheme="minorEastAsia"/>
          <w:color w:val="auto"/>
          <w:sz w:val="24"/>
          <w:szCs w:val="24"/>
          <w:highlight w:val="none"/>
        </w:rPr>
        <w:t>，本区地温梯度一般小于3℃/100m，属地温正常区。</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Theme="minorEastAsia" w:hAnsiTheme="minorEastAsia" w:eastAsiaTheme="minorEastAsia" w:cstheme="minorEastAsia"/>
          <w:b w:val="0"/>
          <w:bCs w:val="0"/>
          <w:color w:val="auto"/>
          <w:sz w:val="24"/>
          <w:szCs w:val="24"/>
          <w:lang w:eastAsia="zh-CN"/>
        </w:rPr>
      </w:pPr>
      <w:r>
        <w:rPr>
          <w:rFonts w:hint="eastAsia" w:asciiTheme="minorEastAsia" w:hAnsiTheme="minorEastAsia" w:eastAsiaTheme="minorEastAsia" w:cstheme="minorEastAsia"/>
          <w:b w:val="0"/>
          <w:bCs w:val="0"/>
          <w:color w:val="auto"/>
          <w:sz w:val="24"/>
          <w:szCs w:val="24"/>
          <w:lang w:val="en-US" w:eastAsia="zh-CN"/>
        </w:rPr>
        <w:t>（四）</w:t>
      </w:r>
      <w:bookmarkEnd w:id="83"/>
      <w:bookmarkEnd w:id="84"/>
      <w:bookmarkEnd w:id="85"/>
      <w:r>
        <w:rPr>
          <w:rFonts w:hint="eastAsia" w:asciiTheme="minorEastAsia" w:hAnsiTheme="minorEastAsia" w:eastAsiaTheme="minorEastAsia" w:cstheme="minorEastAsia"/>
          <w:b w:val="0"/>
          <w:bCs w:val="0"/>
          <w:color w:val="auto"/>
          <w:sz w:val="24"/>
          <w:szCs w:val="24"/>
          <w:lang w:val="en-US" w:eastAsia="zh-CN"/>
        </w:rPr>
        <w:t>瓦斯</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center"/>
        <w:outlineLvl w:val="9"/>
        <w:rPr>
          <w:rFonts w:hint="eastAsia" w:ascii="宋体" w:hAnsi="宋体" w:cs="Times New Roman"/>
          <w:color w:val="auto"/>
          <w:sz w:val="24"/>
          <w:szCs w:val="24"/>
          <w:lang w:val="en-US" w:eastAsia="zh-CN"/>
        </w:rPr>
      </w:pPr>
      <w:r>
        <w:rPr>
          <w:rFonts w:hint="eastAsia" w:ascii="宋体" w:hAnsi="宋体" w:eastAsia="宋体" w:cs="Times New Roman"/>
          <w:color w:val="auto"/>
          <w:sz w:val="24"/>
          <w:highlight w:val="none"/>
          <w:lang w:val="en-US" w:eastAsia="zh-CN"/>
        </w:rPr>
        <w:t>《甘肃靖煤能源有限公司红会第一煤矿分公司矿井瓦斯等级鉴定报告》（2024年度）</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rPr>
        <w:t>红会第一煤矿</w:t>
      </w:r>
      <w:r>
        <w:rPr>
          <w:rFonts w:hint="eastAsia" w:asciiTheme="minorEastAsia" w:hAnsiTheme="minorEastAsia" w:eastAsiaTheme="minorEastAsia" w:cstheme="minorEastAsia"/>
          <w:color w:val="auto"/>
          <w:sz w:val="24"/>
          <w:szCs w:val="24"/>
          <w:lang w:val="en-US" w:eastAsia="zh-CN"/>
        </w:rPr>
        <w:t>分公司</w:t>
      </w:r>
      <w:r>
        <w:rPr>
          <w:rFonts w:hint="eastAsia" w:asciiTheme="minorEastAsia" w:hAnsiTheme="minorEastAsia" w:eastAsiaTheme="minorEastAsia" w:cstheme="minorEastAsia"/>
          <w:color w:val="auto"/>
          <w:sz w:val="24"/>
          <w:szCs w:val="24"/>
          <w:highlight w:val="none"/>
        </w:rPr>
        <w:t>矿井瓦斯绝对涌出量</w:t>
      </w:r>
      <w:r>
        <w:rPr>
          <w:rFonts w:hint="eastAsia" w:asciiTheme="minorEastAsia" w:hAnsiTheme="minorEastAsia" w:eastAsiaTheme="minorEastAsia" w:cstheme="minorEastAsia"/>
          <w:color w:val="auto"/>
          <w:sz w:val="24"/>
          <w:szCs w:val="24"/>
          <w:highlight w:val="none"/>
          <w:lang w:val="en-US" w:eastAsia="zh-CN"/>
        </w:rPr>
        <w:t>2.00m</w:t>
      </w:r>
      <w:r>
        <w:rPr>
          <w:rFonts w:hint="eastAsia" w:asciiTheme="minorEastAsia" w:hAnsiTheme="minorEastAsia" w:eastAsiaTheme="minorEastAsia" w:cstheme="minorEastAsia"/>
          <w:color w:val="auto"/>
          <w:sz w:val="24"/>
          <w:szCs w:val="24"/>
          <w:highlight w:val="none"/>
          <w:vertAlign w:val="superscript"/>
          <w:lang w:val="en-US" w:eastAsia="zh-CN"/>
        </w:rPr>
        <w:t>3</w:t>
      </w:r>
      <w:r>
        <w:rPr>
          <w:rFonts w:hint="eastAsia" w:asciiTheme="minorEastAsia" w:hAnsiTheme="minorEastAsia" w:eastAsiaTheme="minorEastAsia" w:cstheme="minorEastAsia"/>
          <w:color w:val="auto"/>
          <w:sz w:val="24"/>
          <w:szCs w:val="24"/>
          <w:highlight w:val="none"/>
        </w:rPr>
        <w:t>/min，相对瓦斯涌出量0.8</w:t>
      </w:r>
      <w:r>
        <w:rPr>
          <w:rFonts w:hint="eastAsia" w:asciiTheme="minorEastAsia" w:hAnsiTheme="minorEastAsia" w:eastAsiaTheme="minorEastAsia" w:cstheme="minorEastAsia"/>
          <w:color w:val="auto"/>
          <w:sz w:val="24"/>
          <w:szCs w:val="24"/>
          <w:highlight w:val="none"/>
          <w:lang w:val="en-US" w:eastAsia="zh-CN"/>
        </w:rPr>
        <w:t>0m</w:t>
      </w:r>
      <w:r>
        <w:rPr>
          <w:rFonts w:hint="eastAsia" w:asciiTheme="minorEastAsia" w:hAnsiTheme="minorEastAsia" w:eastAsiaTheme="minorEastAsia" w:cstheme="minorEastAsia"/>
          <w:color w:val="auto"/>
          <w:sz w:val="24"/>
          <w:szCs w:val="24"/>
          <w:highlight w:val="none"/>
          <w:vertAlign w:val="superscript"/>
          <w:lang w:val="en-US" w:eastAsia="zh-CN"/>
        </w:rPr>
        <w:t>3</w:t>
      </w:r>
      <w:r>
        <w:rPr>
          <w:rFonts w:hint="eastAsia" w:asciiTheme="minorEastAsia" w:hAnsiTheme="minorEastAsia" w:eastAsiaTheme="minorEastAsia" w:cstheme="minorEastAsia"/>
          <w:color w:val="auto"/>
          <w:sz w:val="24"/>
          <w:szCs w:val="24"/>
          <w:highlight w:val="none"/>
        </w:rPr>
        <w:t>/t；绝对二氧化碳涌出量4.</w:t>
      </w:r>
      <w:r>
        <w:rPr>
          <w:rFonts w:hint="eastAsia" w:asciiTheme="minorEastAsia" w:hAnsiTheme="minorEastAsia" w:eastAsiaTheme="minorEastAsia" w:cstheme="minorEastAsia"/>
          <w:color w:val="auto"/>
          <w:sz w:val="24"/>
          <w:szCs w:val="24"/>
          <w:highlight w:val="none"/>
          <w:lang w:val="en-US" w:eastAsia="zh-CN"/>
        </w:rPr>
        <w:t>00m</w:t>
      </w:r>
      <w:r>
        <w:rPr>
          <w:rFonts w:hint="eastAsia" w:asciiTheme="minorEastAsia" w:hAnsiTheme="minorEastAsia" w:eastAsiaTheme="minorEastAsia" w:cstheme="minorEastAsia"/>
          <w:color w:val="auto"/>
          <w:sz w:val="24"/>
          <w:szCs w:val="24"/>
          <w:highlight w:val="none"/>
          <w:vertAlign w:val="superscript"/>
          <w:lang w:val="en-US" w:eastAsia="zh-CN"/>
        </w:rPr>
        <w:t>3</w:t>
      </w:r>
      <w:r>
        <w:rPr>
          <w:rFonts w:hint="eastAsia" w:asciiTheme="minorEastAsia" w:hAnsiTheme="minorEastAsia" w:eastAsiaTheme="minorEastAsia" w:cstheme="minorEastAsia"/>
          <w:color w:val="auto"/>
          <w:sz w:val="24"/>
          <w:szCs w:val="24"/>
          <w:highlight w:val="none"/>
        </w:rPr>
        <w:t>/min，相对二氧化碳涌出量1.6</w:t>
      </w:r>
      <w:r>
        <w:rPr>
          <w:rFonts w:hint="eastAsia" w:asciiTheme="minorEastAsia" w:hAnsiTheme="minorEastAsia" w:eastAsiaTheme="minorEastAsia" w:cstheme="minorEastAsia"/>
          <w:color w:val="auto"/>
          <w:sz w:val="24"/>
          <w:szCs w:val="24"/>
          <w:highlight w:val="none"/>
          <w:lang w:val="en-US" w:eastAsia="zh-CN"/>
        </w:rPr>
        <w:t>1m</w:t>
      </w:r>
      <w:r>
        <w:rPr>
          <w:rFonts w:hint="eastAsia" w:asciiTheme="minorEastAsia" w:hAnsiTheme="minorEastAsia" w:eastAsiaTheme="minorEastAsia" w:cstheme="minorEastAsia"/>
          <w:color w:val="auto"/>
          <w:sz w:val="24"/>
          <w:szCs w:val="24"/>
          <w:highlight w:val="none"/>
          <w:vertAlign w:val="superscript"/>
          <w:lang w:val="en-US" w:eastAsia="zh-CN"/>
        </w:rPr>
        <w:t>3</w:t>
      </w:r>
      <w:r>
        <w:rPr>
          <w:rFonts w:hint="eastAsia" w:asciiTheme="minorEastAsia" w:hAnsiTheme="minorEastAsia" w:eastAsiaTheme="minorEastAsia" w:cstheme="minorEastAsia"/>
          <w:color w:val="auto"/>
          <w:sz w:val="24"/>
          <w:szCs w:val="24"/>
          <w:highlight w:val="none"/>
        </w:rPr>
        <w:t>/t。矿井瓦斯等级为低瓦斯矿井。</w:t>
      </w:r>
    </w:p>
    <w:p>
      <w:pPr>
        <w:rPr>
          <w:rFonts w:hint="eastAsia"/>
          <w:color w:val="auto"/>
          <w:lang w:val="en-US" w:eastAsia="zh-CN"/>
        </w:rPr>
      </w:pPr>
      <w:r>
        <w:rPr>
          <w:rFonts w:hint="eastAsia"/>
          <w:color w:val="auto"/>
          <w:lang w:val="en-US" w:eastAsia="zh-CN"/>
        </w:rPr>
        <w:br w:type="page"/>
      </w:r>
    </w:p>
    <w:p>
      <w:pPr>
        <w:pStyle w:val="3"/>
        <w:spacing w:before="120" w:after="120" w:line="560" w:lineRule="exact"/>
        <w:jc w:val="center"/>
        <w:rPr>
          <w:rFonts w:hint="default" w:ascii="黑体" w:eastAsia="黑体"/>
          <w:color w:val="auto"/>
          <w:sz w:val="30"/>
          <w:szCs w:val="30"/>
          <w:lang w:val="en-US"/>
        </w:rPr>
      </w:pPr>
      <w:bookmarkStart w:id="86" w:name="_Toc5118"/>
      <w:bookmarkStart w:id="87" w:name="_Toc14826"/>
      <w:bookmarkStart w:id="88" w:name="_Toc13074"/>
      <w:r>
        <w:rPr>
          <w:rFonts w:hint="eastAsia" w:ascii="黑体" w:eastAsia="黑体"/>
          <w:color w:val="auto"/>
          <w:sz w:val="30"/>
          <w:szCs w:val="30"/>
        </w:rPr>
        <w:t>第</w:t>
      </w:r>
      <w:r>
        <w:rPr>
          <w:rFonts w:hint="eastAsia" w:ascii="黑体" w:eastAsia="黑体"/>
          <w:color w:val="auto"/>
          <w:sz w:val="30"/>
          <w:szCs w:val="30"/>
          <w:lang w:val="en-US" w:eastAsia="zh-CN"/>
        </w:rPr>
        <w:t>二</w:t>
      </w:r>
      <w:r>
        <w:rPr>
          <w:rFonts w:hint="eastAsia" w:ascii="黑体" w:eastAsia="黑体"/>
          <w:color w:val="auto"/>
          <w:sz w:val="30"/>
          <w:szCs w:val="30"/>
        </w:rPr>
        <w:t xml:space="preserve">章  </w:t>
      </w:r>
      <w:bookmarkEnd w:id="80"/>
      <w:bookmarkEnd w:id="86"/>
      <w:bookmarkEnd w:id="87"/>
      <w:r>
        <w:rPr>
          <w:rFonts w:hint="eastAsia" w:ascii="黑体" w:eastAsia="黑体"/>
          <w:color w:val="auto"/>
          <w:sz w:val="30"/>
          <w:szCs w:val="30"/>
          <w:lang w:val="en-US" w:eastAsia="zh-CN"/>
        </w:rPr>
        <w:t>地面压裂井设计</w:t>
      </w:r>
      <w:bookmarkEnd w:id="88"/>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89" w:name="_Toc30548"/>
      <w:bookmarkStart w:id="90" w:name="_Toc29143"/>
      <w:bookmarkStart w:id="91" w:name="_Toc10610"/>
      <w:bookmarkStart w:id="92" w:name="_Toc4674"/>
      <w:r>
        <w:rPr>
          <w:rFonts w:hint="eastAsia" w:ascii="黑体" w:hAnsi="黑体" w:eastAsia="黑体" w:cs="黑体"/>
          <w:b/>
          <w:bCs/>
          <w:color w:val="auto"/>
          <w:sz w:val="28"/>
          <w:szCs w:val="28"/>
          <w:lang w:val="en-US" w:eastAsia="zh-CN"/>
        </w:rPr>
        <w:t xml:space="preserve">第一节  </w:t>
      </w:r>
      <w:bookmarkEnd w:id="89"/>
      <w:bookmarkEnd w:id="90"/>
      <w:bookmarkEnd w:id="91"/>
      <w:r>
        <w:rPr>
          <w:rFonts w:hint="eastAsia" w:ascii="黑体" w:hAnsi="黑体" w:eastAsia="黑体" w:cs="黑体"/>
          <w:b/>
          <w:bCs/>
          <w:color w:val="auto"/>
          <w:sz w:val="28"/>
          <w:szCs w:val="28"/>
          <w:lang w:val="en-US" w:eastAsia="zh-CN"/>
        </w:rPr>
        <w:t>压裂层位选择</w:t>
      </w:r>
      <w:bookmarkEnd w:id="92"/>
    </w:p>
    <w:p>
      <w:pPr>
        <w:pStyle w:val="57"/>
        <w:keepNext w:val="0"/>
        <w:keepLines w:val="0"/>
        <w:pageBreakBefore w:val="0"/>
        <w:widowControl w:val="0"/>
        <w:kinsoku/>
        <w:wordWrap/>
        <w:overflowPunct/>
        <w:topLinePunct w:val="0"/>
        <w:autoSpaceDE/>
        <w:autoSpaceDN/>
        <w:bidi w:val="0"/>
        <w:adjustRightInd/>
        <w:snapToGrid/>
        <w:spacing w:line="560" w:lineRule="exact"/>
        <w:ind w:firstLine="482" w:firstLineChars="200"/>
        <w:textAlignment w:val="auto"/>
        <w:rPr>
          <w:rFonts w:hint="eastAsia" w:asciiTheme="minorEastAsia" w:hAnsiTheme="minorEastAsia" w:eastAsiaTheme="minorEastAsia" w:cstheme="minorEastAsia"/>
          <w:b/>
          <w:bCs/>
          <w:color w:val="auto"/>
          <w:lang w:val="en-US" w:eastAsia="zh-CN"/>
        </w:rPr>
      </w:pPr>
      <w:bookmarkStart w:id="93" w:name="_Toc153047271"/>
      <w:bookmarkStart w:id="94" w:name="_Toc200569862"/>
      <w:r>
        <w:rPr>
          <w:rFonts w:hint="eastAsia" w:asciiTheme="minorEastAsia" w:hAnsiTheme="minorEastAsia" w:eastAsiaTheme="minorEastAsia" w:cstheme="minorEastAsia"/>
          <w:b/>
          <w:bCs/>
          <w:color w:val="auto"/>
          <w:lang w:val="en-US" w:eastAsia="zh-CN"/>
        </w:rPr>
        <w:t>一、南翼井田强矿压显现</w:t>
      </w:r>
      <w:bookmarkEnd w:id="93"/>
      <w:r>
        <w:rPr>
          <w:rFonts w:hint="eastAsia" w:asciiTheme="minorEastAsia" w:hAnsiTheme="minorEastAsia" w:eastAsiaTheme="minorEastAsia" w:cstheme="minorEastAsia"/>
          <w:b/>
          <w:bCs/>
          <w:color w:val="auto"/>
          <w:lang w:val="en-US" w:eastAsia="zh-CN"/>
        </w:rPr>
        <w:t>特征</w:t>
      </w:r>
      <w:bookmarkEnd w:id="94"/>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color w:val="auto"/>
        </w:rPr>
      </w:pPr>
      <w:r>
        <w:rPr>
          <w:rFonts w:hint="eastAsia" w:asciiTheme="minorEastAsia" w:hAnsiTheme="minorEastAsia" w:eastAsiaTheme="minorEastAsia" w:cstheme="minorEastAsia"/>
          <w:color w:val="auto"/>
          <w:sz w:val="24"/>
          <w:szCs w:val="24"/>
        </w:rPr>
        <w:t>红会第一煤矿</w:t>
      </w:r>
      <w:r>
        <w:rPr>
          <w:rFonts w:hint="eastAsia" w:asciiTheme="minorEastAsia" w:hAnsiTheme="minorEastAsia" w:eastAsiaTheme="minorEastAsia" w:cstheme="minorEastAsia"/>
          <w:color w:val="auto"/>
          <w:sz w:val="24"/>
          <w:szCs w:val="24"/>
          <w:lang w:val="en-US" w:eastAsia="zh-CN"/>
        </w:rPr>
        <w:t>分公司</w:t>
      </w:r>
      <w:r>
        <w:rPr>
          <w:rFonts w:hint="eastAsia" w:eastAsiaTheme="minorEastAsia"/>
          <w:color w:val="auto"/>
          <w:lang w:eastAsia="zh-CN"/>
        </w:rPr>
        <w:t>南翼井田</w:t>
      </w:r>
      <w:r>
        <w:rPr>
          <w:rFonts w:hint="eastAsia"/>
          <w:color w:val="auto"/>
        </w:rPr>
        <w:t>主采</w:t>
      </w:r>
      <w:r>
        <w:rPr>
          <w:rFonts w:hint="eastAsia" w:ascii="宋体" w:hAnsi="宋体" w:eastAsia="宋体" w:cs="宋体"/>
          <w:b w:val="0"/>
          <w:color w:val="auto"/>
          <w:kern w:val="2"/>
          <w:sz w:val="24"/>
          <w:szCs w:val="21"/>
          <w:lang w:val="en-US" w:eastAsia="zh-CN" w:bidi="ar"/>
        </w:rPr>
        <w:t>一层煤</w:t>
      </w:r>
      <w:r>
        <w:rPr>
          <w:rFonts w:hint="eastAsia"/>
          <w:color w:val="auto"/>
        </w:rPr>
        <w:t>，</w:t>
      </w:r>
      <w:r>
        <w:rPr>
          <w:rFonts w:hint="eastAsia"/>
          <w:color w:val="auto"/>
          <w:lang w:eastAsia="zh-CN"/>
        </w:rPr>
        <w:t>南翼井田</w:t>
      </w:r>
      <w:r>
        <w:rPr>
          <w:rFonts w:hint="eastAsia"/>
          <w:color w:val="auto"/>
        </w:rPr>
        <w:t>为急倾斜特厚煤层</w:t>
      </w:r>
      <w:r>
        <w:rPr>
          <w:rFonts w:hint="eastAsia"/>
          <w:color w:val="auto"/>
          <w:lang w:eastAsia="zh-CN"/>
        </w:rPr>
        <w:t>（</w:t>
      </w:r>
      <w:r>
        <w:rPr>
          <w:rFonts w:hint="eastAsia"/>
          <w:color w:val="auto"/>
          <w:lang w:val="en-US" w:eastAsia="zh-CN"/>
        </w:rPr>
        <w:t>见图2-1-1</w:t>
      </w:r>
      <w:r>
        <w:rPr>
          <w:rFonts w:hint="eastAsia"/>
          <w:color w:val="auto"/>
          <w:lang w:eastAsia="zh-CN"/>
        </w:rPr>
        <w:t>）</w:t>
      </w:r>
      <w:r>
        <w:rPr>
          <w:rFonts w:hint="eastAsia"/>
          <w:color w:val="auto"/>
        </w:rPr>
        <w:t>，</w:t>
      </w:r>
      <w:r>
        <w:rPr>
          <w:rFonts w:hint="eastAsia"/>
          <w:color w:val="auto"/>
          <w:highlight w:val="none"/>
          <w:lang w:val="en-US" w:eastAsia="zh-CN"/>
        </w:rPr>
        <w:t>煤层平均厚度</w:t>
      </w:r>
      <w:r>
        <w:rPr>
          <w:rFonts w:hint="eastAsia"/>
          <w:color w:val="auto"/>
          <w:highlight w:val="none"/>
        </w:rPr>
        <w:t>25m，煤层倾角25～75°，工作面</w:t>
      </w:r>
      <w:r>
        <w:rPr>
          <w:rFonts w:hint="eastAsia"/>
          <w:color w:val="auto"/>
        </w:rPr>
        <w:t>回采期间巷道变形较大，矿压显现强烈，自2023年5月</w:t>
      </w:r>
      <w:r>
        <w:rPr>
          <w:rFonts w:hint="eastAsia"/>
          <w:color w:val="auto"/>
          <w:lang w:val="en-US" w:eastAsia="zh-CN"/>
        </w:rPr>
        <w:t>使</w:t>
      </w:r>
      <w:r>
        <w:rPr>
          <w:rFonts w:hint="eastAsia"/>
          <w:color w:val="auto"/>
        </w:rPr>
        <w:t>用微震监测</w:t>
      </w:r>
      <w:r>
        <w:rPr>
          <w:rFonts w:hint="eastAsia"/>
          <w:color w:val="auto"/>
          <w:lang w:val="en-US" w:eastAsia="zh-CN"/>
        </w:rPr>
        <w:t>至今</w:t>
      </w:r>
      <w:r>
        <w:rPr>
          <w:rFonts w:hint="eastAsia"/>
          <w:color w:val="auto"/>
        </w:rPr>
        <w:t>，10</w:t>
      </w:r>
      <w:r>
        <w:rPr>
          <w:rFonts w:hint="eastAsia"/>
          <w:color w:val="auto"/>
          <w:vertAlign w:val="superscript"/>
        </w:rPr>
        <w:t>4</w:t>
      </w:r>
      <w:r>
        <w:rPr>
          <w:rFonts w:hint="eastAsia"/>
          <w:color w:val="auto"/>
        </w:rPr>
        <w:t>J级震动事件3次（2023年2次，2024年1次），主要发生在南101工作面初次来压期间坚硬顶板垮落以及F</w:t>
      </w:r>
      <w:r>
        <w:rPr>
          <w:rFonts w:hint="eastAsia"/>
          <w:color w:val="auto"/>
          <w:vertAlign w:val="subscript"/>
        </w:rPr>
        <w:t>1h-1</w:t>
      </w:r>
      <w:r>
        <w:rPr>
          <w:rFonts w:hint="eastAsia"/>
          <w:color w:val="auto"/>
        </w:rPr>
        <w:t>断层影响区域。</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color w:val="auto"/>
        </w:rPr>
      </w:pPr>
      <w:r>
        <w:rPr>
          <w:rFonts w:hint="eastAsia"/>
          <w:color w:val="auto"/>
          <w:lang w:val="en-US" w:eastAsia="zh-CN"/>
        </w:rPr>
        <w:t>根据</w:t>
      </w:r>
      <w:r>
        <w:rPr>
          <w:rFonts w:hint="eastAsia"/>
          <w:color w:val="auto"/>
        </w:rPr>
        <w:t>红会第一煤矿</w:t>
      </w:r>
      <w:r>
        <w:rPr>
          <w:rFonts w:hint="eastAsia"/>
          <w:color w:val="auto"/>
          <w:lang w:val="en-US" w:eastAsia="zh-CN"/>
        </w:rPr>
        <w:t>分公司</w:t>
      </w:r>
      <w:r>
        <w:rPr>
          <w:rFonts w:hint="eastAsia"/>
          <w:color w:val="auto"/>
        </w:rPr>
        <w:t>微震监测情况及矿井地质资料，初步分析得到以下结论：</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color w:val="auto"/>
          <w:lang w:val="en-US" w:eastAsia="zh-CN"/>
        </w:rPr>
      </w:pPr>
      <w:r>
        <w:rPr>
          <w:rFonts w:hint="eastAsia"/>
          <w:color w:val="auto"/>
          <w:lang w:val="en-US" w:eastAsia="zh-CN"/>
        </w:rPr>
        <w:t>1.红会第一煤矿分公司南翼井田受急倾斜+断层”双重因素影响，区域构造应力场影响作用显著，加之急倾斜开采条件，极易造成采场强矿压动力灾害；</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color w:val="auto"/>
          <w:lang w:val="en-US" w:eastAsia="zh-CN"/>
        </w:rPr>
      </w:pPr>
      <w:r>
        <w:rPr>
          <w:rFonts w:hint="eastAsia"/>
          <w:color w:val="auto"/>
          <w:lang w:val="en-US" w:eastAsia="zh-CN"/>
        </w:rPr>
        <w:t>2.采用急倾斜水平分段放顶煤采煤法，采煤工作面两道难以避免留设厚底煤，底板内易形成水平应力集中，增大管路难度。</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default"/>
          <w:color w:val="auto"/>
          <w:lang w:val="en-US" w:eastAsia="zh-CN"/>
        </w:rPr>
      </w:pPr>
      <w:r>
        <w:rPr>
          <w:rFonts w:hint="eastAsia"/>
          <w:color w:val="auto"/>
          <w:lang w:val="en-US" w:eastAsia="zh-CN"/>
        </w:rPr>
        <w:t>3.强矿压防治机理方面研究不够，防治经验不足。</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color w:val="auto"/>
        </w:rPr>
        <w:t>基于上述分析，本次压裂主要针对</w:t>
      </w:r>
      <w:r>
        <w:rPr>
          <w:rFonts w:hint="eastAsia"/>
          <w:color w:val="auto"/>
          <w:lang w:val="en-US" w:eastAsia="zh-CN"/>
        </w:rPr>
        <w:t>南翼井田西翼工作面</w:t>
      </w:r>
      <w:r>
        <w:rPr>
          <w:rFonts w:hint="eastAsia"/>
          <w:color w:val="auto"/>
        </w:rPr>
        <w:t>的强矿压防治，在</w:t>
      </w:r>
      <w:r>
        <w:rPr>
          <w:rFonts w:hint="eastAsia"/>
          <w:color w:val="auto"/>
          <w:lang w:val="en-US" w:eastAsia="zh-CN"/>
        </w:rPr>
        <w:t>南翼井田西翼工作面</w:t>
      </w:r>
      <w:r>
        <w:rPr>
          <w:rFonts w:hint="eastAsia"/>
          <w:color w:val="auto"/>
        </w:rPr>
        <w:t>布置</w:t>
      </w:r>
      <w:r>
        <w:rPr>
          <w:rFonts w:hint="eastAsia"/>
          <w:color w:val="auto"/>
          <w:lang w:val="en-US" w:eastAsia="zh-CN"/>
        </w:rPr>
        <w:t>地面</w:t>
      </w:r>
      <w:r>
        <w:rPr>
          <w:rFonts w:hint="eastAsia"/>
          <w:color w:val="auto"/>
        </w:rPr>
        <w:t>压裂井，采用水平井沿走向进行压裂</w:t>
      </w:r>
      <w:r>
        <w:rPr>
          <w:rFonts w:hint="eastAsia"/>
          <w:color w:val="auto"/>
          <w:lang w:eastAsia="zh-CN"/>
        </w:rPr>
        <w:t>，</w:t>
      </w:r>
      <w:r>
        <w:rPr>
          <w:rFonts w:hint="eastAsia"/>
          <w:color w:val="auto"/>
          <w:lang w:val="en-US" w:eastAsia="zh-CN"/>
        </w:rPr>
        <w:t>达到对上覆岩</w:t>
      </w:r>
      <w:r>
        <w:rPr>
          <w:rFonts w:hint="eastAsia" w:asciiTheme="minorEastAsia" w:hAnsiTheme="minorEastAsia" w:eastAsiaTheme="minorEastAsia" w:cstheme="minorEastAsia"/>
          <w:color w:val="auto"/>
          <w:lang w:val="en-US" w:eastAsia="zh-CN"/>
        </w:rPr>
        <w:t>层卸压的目的</w:t>
      </w:r>
      <w:r>
        <w:rPr>
          <w:rFonts w:hint="eastAsia" w:asciiTheme="minorEastAsia" w:hAnsiTheme="minorEastAsia" w:eastAsiaTheme="minorEastAsia" w:cstheme="minorEastAsia"/>
          <w:color w:val="auto"/>
        </w:rPr>
        <w:t>。</w:t>
      </w:r>
      <w:bookmarkStart w:id="95" w:name="_Toc153047273"/>
      <w:bookmarkStart w:id="96" w:name="_Toc200569864"/>
    </w:p>
    <w:p>
      <w:pPr>
        <w:pStyle w:val="57"/>
        <w:keepNext w:val="0"/>
        <w:keepLines w:val="0"/>
        <w:pageBreakBefore w:val="0"/>
        <w:widowControl w:val="0"/>
        <w:kinsoku/>
        <w:wordWrap/>
        <w:overflowPunct/>
        <w:topLinePunct w:val="0"/>
        <w:autoSpaceDE/>
        <w:autoSpaceDN/>
        <w:bidi w:val="0"/>
        <w:adjustRightInd/>
        <w:snapToGrid/>
        <w:spacing w:line="560" w:lineRule="exact"/>
        <w:ind w:firstLine="482" w:firstLineChars="200"/>
        <w:textAlignment w:val="auto"/>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二、覆岩垮落特征分析</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随着</w:t>
      </w:r>
      <w:r>
        <w:rPr>
          <w:rFonts w:hint="eastAsia" w:asciiTheme="minorEastAsia" w:hAnsiTheme="minorEastAsia" w:eastAsiaTheme="minorEastAsia" w:cstheme="minorEastAsia"/>
          <w:color w:val="auto"/>
        </w:rPr>
        <w:t>采煤工作面不断回采推进,上覆煤岩层受自身重力影响将产生一系列的变形与位移。急倾斜煤层由于其倾角与近水平煤层存在较大差异</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采动覆岩破坏与</w:t>
      </w:r>
      <w:r>
        <w:rPr>
          <w:rFonts w:hint="eastAsia" w:asciiTheme="minorEastAsia" w:hAnsiTheme="minorEastAsia" w:eastAsiaTheme="minorEastAsia" w:cstheme="minorEastAsia"/>
          <w:color w:val="auto"/>
          <w:lang w:val="en-US" w:eastAsia="zh-CN"/>
        </w:rPr>
        <w:t>位</w:t>
      </w:r>
      <w:r>
        <w:rPr>
          <w:rFonts w:hint="eastAsia" w:asciiTheme="minorEastAsia" w:hAnsiTheme="minorEastAsia" w:eastAsiaTheme="minorEastAsia" w:cstheme="minorEastAsia"/>
          <w:color w:val="auto"/>
        </w:rPr>
        <w:t>移特征存在一定差异，开采后引起的岩层移动特征不同，表现出不同的类型，但根据其是否发生层间滑移，可分为两类：</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第一类：</w:t>
      </w:r>
      <w:r>
        <w:rPr>
          <w:rFonts w:hint="eastAsia" w:asciiTheme="minorEastAsia" w:hAnsiTheme="minorEastAsia" w:eastAsiaTheme="minorEastAsia" w:cstheme="minorEastAsia"/>
          <w:color w:val="auto"/>
        </w:rPr>
        <w:t>弯曲型：主要出现在倾斜角度较小、覆岩岩性强度较高且煤厚较薄的急倾斜煤层中。煤层开采后，覆岩岩板会发生显著弯曲变形，其变形特点表现为岩层分层下端固定在采空区底板沿层面垂线下，岩石在此处不发生位移</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上部岩层及分层会发生弯曲位移，各分层间维持连续性及层间结构，呈现出一种有序且协同的变形模式。</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第二类：</w:t>
      </w:r>
      <w:r>
        <w:rPr>
          <w:rFonts w:hint="eastAsia" w:asciiTheme="minorEastAsia" w:hAnsiTheme="minorEastAsia" w:eastAsiaTheme="minorEastAsia" w:cstheme="minorEastAsia"/>
          <w:color w:val="auto"/>
        </w:rPr>
        <w:t>弯曲滑移型:急倾斜煤层中较为常见的类型，煤层开采后，除覆岩弯曲变形外，煤层顶底板极易产生沿层理面的层间移动。</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综上所述,急倾斜煤层开采后覆岩不同的移动方式</w:t>
      </w:r>
      <w:r>
        <w:rPr>
          <w:rFonts w:hint="eastAsia" w:asciiTheme="minorEastAsia" w:hAnsiTheme="minorEastAsia" w:eastAsiaTheme="minorEastAsia" w:cstheme="minorEastAsia"/>
          <w:color w:val="auto"/>
          <w:lang w:val="en-US" w:eastAsia="zh-CN"/>
        </w:rPr>
        <w:t>会</w:t>
      </w:r>
      <w:r>
        <w:rPr>
          <w:rFonts w:hint="eastAsia" w:asciiTheme="minorEastAsia" w:hAnsiTheme="minorEastAsia" w:eastAsiaTheme="minorEastAsia" w:cstheme="minorEastAsia"/>
          <w:color w:val="auto"/>
        </w:rPr>
        <w:t>导致覆岩破坏范围与形态也不尽相同，但总体而言覆岩的破坏及移动形态具有以下特点:</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特点1：</w:t>
      </w:r>
      <w:r>
        <w:rPr>
          <w:rFonts w:hint="eastAsia" w:asciiTheme="minorEastAsia" w:hAnsiTheme="minorEastAsia" w:eastAsiaTheme="minorEastAsia" w:cstheme="minorEastAsia"/>
          <w:color w:val="auto"/>
        </w:rPr>
        <w:t>采动后覆岩的破坏影响主要集中在采空区上段，采空区下段影响较小，这也使得覆岩裂隙场中采空区上、下段裂隙空间分布以及孔隙率存在较大差异，且受层间滑移影响，可能存在煤层上段垮落遗煤充填采空区的情况；</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特点2：</w:t>
      </w:r>
      <w:r>
        <w:rPr>
          <w:rFonts w:hint="eastAsia" w:asciiTheme="minorEastAsia" w:hAnsiTheme="minorEastAsia" w:eastAsiaTheme="minorEastAsia" w:cstheme="minorEastAsia"/>
          <w:color w:val="auto"/>
        </w:rPr>
        <w:t>随着急倾斜煤层的开采,覆岩通过弯曲以及层间滑移的形式发生移动，其最终形态会表现为“厂”字形移动，结合采动后覆岩破坏偏向，导致工作面推进到一定程度后，在采空区走向上覆岩裂隙带的分布存在明显的不对称性。</w:t>
      </w:r>
    </w:p>
    <w:p>
      <w:pPr>
        <w:pStyle w:val="57"/>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综合上述分析，对中位区域坚硬顶板进行地面区域性压裂，大范围弱化坚硬顶板承载性能，转移高应力分布，同时在巷道上方形成区域性卸压带，是控制强矿压显现有效途径。</w:t>
      </w: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480" w:firstLineChars="200"/>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50" w:lineRule="exact"/>
        <w:textAlignment w:val="auto"/>
        <w:rPr>
          <w:rFonts w:hint="eastAsia" w:asciiTheme="minorEastAsia" w:hAnsiTheme="minorEastAsia" w:eastAsiaTheme="minorEastAsia" w:cstheme="minorEastAsia"/>
          <w:color w:val="auto"/>
        </w:rPr>
      </w:pPr>
    </w:p>
    <w:p>
      <w:pPr>
        <w:pStyle w:val="57"/>
        <w:keepNext w:val="0"/>
        <w:keepLines w:val="0"/>
        <w:pageBreakBefore w:val="0"/>
        <w:widowControl w:val="0"/>
        <w:kinsoku/>
        <w:wordWrap/>
        <w:overflowPunct/>
        <w:topLinePunct w:val="0"/>
        <w:autoSpaceDE/>
        <w:autoSpaceDN/>
        <w:bidi w:val="0"/>
        <w:adjustRightInd/>
        <w:snapToGrid/>
        <w:spacing w:line="530" w:lineRule="exact"/>
        <w:textAlignment w:val="auto"/>
        <w:rPr>
          <w:rFonts w:hint="eastAsia" w:asciiTheme="minorEastAsia" w:hAnsiTheme="minorEastAsia" w:eastAsiaTheme="minorEastAsia" w:cstheme="minorEastAsia"/>
          <w:color w:val="auto"/>
        </w:rPr>
        <w:sectPr>
          <w:headerReference r:id="rId6" w:type="default"/>
          <w:footerReference r:id="rId7" w:type="default"/>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pStyle w:val="57"/>
        <w:bidi w:val="0"/>
        <w:rPr>
          <w:rFonts w:hint="eastAsia" w:asciiTheme="minorEastAsia" w:hAnsiTheme="minorEastAsia" w:eastAsiaTheme="minorEastAsia" w:cstheme="minorEastAsia"/>
          <w:color w:val="auto"/>
        </w:rPr>
      </w:pPr>
      <w:r>
        <w:rPr>
          <w:color w:val="auto"/>
        </w:rPr>
        <w:drawing>
          <wp:anchor distT="0" distB="0" distL="114300" distR="114300" simplePos="0" relativeHeight="251701248" behindDoc="0" locked="0" layoutInCell="1" allowOverlap="1">
            <wp:simplePos x="0" y="0"/>
            <wp:positionH relativeFrom="column">
              <wp:posOffset>262255</wp:posOffset>
            </wp:positionH>
            <wp:positionV relativeFrom="paragraph">
              <wp:posOffset>-146685</wp:posOffset>
            </wp:positionV>
            <wp:extent cx="12800330" cy="8847455"/>
            <wp:effectExtent l="0" t="0" r="0" b="0"/>
            <wp:wrapNone/>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15"/>
                    <a:stretch>
                      <a:fillRect/>
                    </a:stretch>
                  </pic:blipFill>
                  <pic:spPr>
                    <a:xfrm>
                      <a:off x="0" y="0"/>
                      <a:ext cx="12800330" cy="8847455"/>
                    </a:xfrm>
                    <a:prstGeom prst="rect">
                      <a:avLst/>
                    </a:prstGeom>
                    <a:noFill/>
                    <a:ln>
                      <a:noFill/>
                    </a:ln>
                  </pic:spPr>
                </pic:pic>
              </a:graphicData>
            </a:graphic>
          </wp:anchor>
        </w:drawing>
      </w: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default"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图2-1-1  南翼井田平面图</w:t>
      </w: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sectPr>
          <w:headerReference r:id="rId8" w:type="default"/>
          <w:pgSz w:w="23811" w:h="16838" w:orient="landscape"/>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pStyle w:val="57"/>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hint="eastAsia" w:asciiTheme="minorEastAsia" w:hAnsiTheme="minorEastAsia" w:eastAsiaTheme="minorEastAsia" w:cstheme="minorEastAsia"/>
          <w:b/>
          <w:bCs/>
          <w:color w:val="auto"/>
          <w:lang w:val="en-US" w:eastAsia="zh-CN"/>
        </w:rPr>
      </w:pPr>
      <w:bookmarkStart w:id="97" w:name="_Toc153047274"/>
      <w:bookmarkStart w:id="98" w:name="_Toc200569865"/>
      <w:r>
        <w:rPr>
          <w:rFonts w:hint="eastAsia" w:asciiTheme="minorEastAsia" w:hAnsiTheme="minorEastAsia" w:eastAsiaTheme="minorEastAsia" w:cstheme="minorEastAsia"/>
          <w:b/>
          <w:bCs/>
          <w:color w:val="auto"/>
          <w:lang w:val="en-US" w:eastAsia="zh-CN"/>
        </w:rPr>
        <w:t>三、覆岩应力演化及裂隙发育分析</w:t>
      </w:r>
      <w:bookmarkEnd w:id="97"/>
      <w:bookmarkEnd w:id="98"/>
    </w:p>
    <w:p>
      <w:pPr>
        <w:pStyle w:val="57"/>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根据</w:t>
      </w:r>
      <w:r>
        <w:rPr>
          <w:rFonts w:hint="eastAsia" w:asciiTheme="minorEastAsia" w:hAnsiTheme="minorEastAsia" w:eastAsiaTheme="minorEastAsia" w:cstheme="minorEastAsia"/>
          <w:color w:val="auto"/>
          <w:sz w:val="24"/>
          <w:szCs w:val="24"/>
        </w:rPr>
        <w:t>红会第一煤矿</w:t>
      </w:r>
      <w:r>
        <w:rPr>
          <w:rFonts w:hint="eastAsia" w:asciiTheme="minorEastAsia" w:hAnsiTheme="minorEastAsia" w:eastAsiaTheme="minorEastAsia" w:cstheme="minorEastAsia"/>
          <w:color w:val="auto"/>
          <w:sz w:val="24"/>
          <w:szCs w:val="24"/>
          <w:lang w:val="en-US" w:eastAsia="zh-CN"/>
        </w:rPr>
        <w:t>分公司</w:t>
      </w:r>
      <w:r>
        <w:rPr>
          <w:rFonts w:hint="eastAsia" w:asciiTheme="minorEastAsia" w:hAnsiTheme="minorEastAsia" w:eastAsiaTheme="minorEastAsia" w:cstheme="minorEastAsia"/>
          <w:color w:val="auto"/>
        </w:rPr>
        <w:t>前期围绕急倾斜煤层开采的</w:t>
      </w:r>
      <w:r>
        <w:rPr>
          <w:rFonts w:hint="eastAsia" w:asciiTheme="minorEastAsia" w:hAnsiTheme="minorEastAsia" w:eastAsiaTheme="minorEastAsia" w:cstheme="minorEastAsia"/>
          <w:color w:val="auto"/>
          <w:lang w:val="en-US" w:eastAsia="zh-CN"/>
        </w:rPr>
        <w:t>经验来看</w:t>
      </w:r>
      <w:r>
        <w:rPr>
          <w:rFonts w:hint="eastAsia" w:asciiTheme="minorEastAsia" w:hAnsiTheme="minorEastAsia" w:eastAsiaTheme="minorEastAsia" w:cstheme="minorEastAsia"/>
          <w:color w:val="auto"/>
        </w:rPr>
        <w:t>，在断层下盘煤层开采过程中，随着急倾斜煤层水平分段综放工作面回采阶段垂高的增加，断层上盘老空区顶板依旧以拉伸与剪切破坏为主，底板以剪切破坏为主，且塑性区范围没有随着分层回采阶段垂高的增加而增加，</w:t>
      </w:r>
    </w:p>
    <w:p>
      <w:pPr>
        <w:pStyle w:val="57"/>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rPr>
        <w:t>其次，在断层上盘老空区下，急倾斜煤层水平分段综放工作面开采第一分层时，在工作面上、下方实体煤区域出现拉伸破坏，这是由于在顶底板和上方煤体的重力作用下，该区域受拉，从而产生拉伸破坏，但煤层顶底板主要以剪切破坏为主</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lang w:val="en-US" w:eastAsia="zh-CN"/>
        </w:rPr>
        <w:t>覆岩裂隙发育特征（见图2-1-2）。</w:t>
      </w:r>
    </w:p>
    <w:p>
      <w:pPr>
        <w:spacing w:line="360" w:lineRule="auto"/>
        <w:ind w:firstLine="199" w:firstLineChars="83"/>
        <w:jc w:val="center"/>
        <w:rPr>
          <w:rFonts w:ascii="Times New Roman" w:hAnsi="Times New Roman" w:eastAsia="宋体" w:cs="Times New Roman"/>
          <w:color w:val="auto"/>
          <w:sz w:val="24"/>
          <w:szCs w:val="22"/>
          <w14:ligatures w14:val="standardContextual"/>
        </w:rPr>
      </w:pPr>
      <w:r>
        <w:rPr>
          <w:rFonts w:ascii="Times New Roman" w:hAnsi="Times New Roman" w:eastAsia="宋体" w:cs="Times New Roman"/>
          <w:color w:val="auto"/>
          <w:sz w:val="24"/>
          <w:szCs w:val="22"/>
          <w14:ligatures w14:val="standardContextual"/>
        </w:rPr>
        <w:drawing>
          <wp:inline distT="0" distB="0" distL="0" distR="0">
            <wp:extent cx="2072005" cy="1979930"/>
            <wp:effectExtent l="0" t="0" r="4445" b="1270"/>
            <wp:docPr id="913576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57691" name="图片 1"/>
                    <pic:cNvPicPr>
                      <a:picLocks noChangeAspect="1"/>
                    </pic:cNvPicPr>
                  </pic:nvPicPr>
                  <pic:blipFill>
                    <a:blip r:embed="rId16"/>
                    <a:stretch>
                      <a:fillRect/>
                    </a:stretch>
                  </pic:blipFill>
                  <pic:spPr>
                    <a:xfrm>
                      <a:off x="0" y="0"/>
                      <a:ext cx="2072094" cy="1980000"/>
                    </a:xfrm>
                    <a:prstGeom prst="rect">
                      <a:avLst/>
                    </a:prstGeom>
                  </pic:spPr>
                </pic:pic>
              </a:graphicData>
            </a:graphic>
          </wp:inline>
        </w:drawing>
      </w:r>
      <w:r>
        <w:rPr>
          <w:rFonts w:hint="eastAsia" w:ascii="Times New Roman" w:hAnsi="Times New Roman" w:eastAsia="宋体" w:cs="Times New Roman"/>
          <w:color w:val="auto"/>
          <w:sz w:val="24"/>
          <w:szCs w:val="22"/>
          <w14:ligatures w14:val="standardContextual"/>
        </w:rPr>
        <w:t xml:space="preserve">    </w:t>
      </w:r>
      <w:r>
        <w:rPr>
          <w:rFonts w:ascii="Times New Roman" w:hAnsi="Times New Roman" w:eastAsia="宋体" w:cs="Times New Roman"/>
          <w:color w:val="auto"/>
          <w:sz w:val="24"/>
          <w:szCs w:val="22"/>
          <w14:ligatures w14:val="standardContextual"/>
        </w:rPr>
        <w:drawing>
          <wp:inline distT="0" distB="0" distL="0" distR="0">
            <wp:extent cx="2072005" cy="1979930"/>
            <wp:effectExtent l="0" t="0" r="4445" b="1270"/>
            <wp:docPr id="1179344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344768" name="图片 1"/>
                    <pic:cNvPicPr>
                      <a:picLocks noChangeAspect="1"/>
                    </pic:cNvPicPr>
                  </pic:nvPicPr>
                  <pic:blipFill>
                    <a:blip r:embed="rId17"/>
                    <a:stretch>
                      <a:fillRect/>
                    </a:stretch>
                  </pic:blipFill>
                  <pic:spPr>
                    <a:xfrm>
                      <a:off x="0" y="0"/>
                      <a:ext cx="2072093" cy="19800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图2-1-2  覆岩裂隙发育特征</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b/>
          <w:bCs/>
          <w:color w:val="auto"/>
          <w:lang w:val="en-US" w:eastAsia="zh-CN"/>
        </w:rPr>
      </w:pPr>
      <w:bookmarkStart w:id="99" w:name="_Toc206000434"/>
      <w:r>
        <w:rPr>
          <w:rFonts w:hint="eastAsia" w:asciiTheme="minorEastAsia" w:hAnsiTheme="minorEastAsia" w:eastAsiaTheme="minorEastAsia" w:cstheme="minorEastAsia"/>
          <w:b/>
          <w:bCs/>
          <w:color w:val="auto"/>
          <w:lang w:val="en-US" w:eastAsia="zh-CN"/>
        </w:rPr>
        <w:t>四、断层构造特征分析</w:t>
      </w:r>
      <w:bookmarkEnd w:id="99"/>
      <w:r>
        <w:rPr>
          <w:rFonts w:hint="eastAsia" w:asciiTheme="minorEastAsia" w:hAnsiTheme="minorEastAsia" w:eastAsiaTheme="minorEastAsia" w:cstheme="minorEastAsia"/>
          <w:b/>
          <w:bCs/>
          <w:color w:val="auto"/>
          <w:lang w:val="en-US" w:eastAsia="zh-CN"/>
        </w:rPr>
        <w:t xml:space="preserve"> </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断层的形成过程受到多种因素的共同叠加作用，断层赋存形态有许多种，依据断层上盘和下盘的相对运动主要分为正断层和逆断层，正断层上盘相对下降，下盘相对上升，逆断层则相反，上盘相对上升，下盘相对下降。为工作面断层两盘运动形式</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lang w:val="en-US" w:eastAsia="zh-CN"/>
        </w:rPr>
        <w:t>见</w:t>
      </w:r>
      <w:r>
        <w:rPr>
          <w:rFonts w:hint="eastAsia" w:asciiTheme="minorEastAsia" w:hAnsiTheme="minorEastAsia" w:eastAsiaTheme="minorEastAsia" w:cstheme="minorEastAsia"/>
          <w:color w:val="auto"/>
        </w:rPr>
        <w:t>图2-</w:t>
      </w:r>
      <w:r>
        <w:rPr>
          <w:rFonts w:hint="eastAsia" w:asciiTheme="minorEastAsia" w:hAnsiTheme="minorEastAsia" w:eastAsiaTheme="minorEastAsia" w:cstheme="minorEastAsia"/>
          <w:color w:val="auto"/>
          <w:lang w:val="en-US" w:eastAsia="zh-CN"/>
        </w:rPr>
        <w:t>1-3</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color w:val="auto"/>
          <w14:ligatures w14:val="none"/>
        </w:rPr>
        <w:drawing>
          <wp:anchor distT="0" distB="0" distL="0" distR="0" simplePos="0" relativeHeight="251663360" behindDoc="0" locked="0" layoutInCell="1" allowOverlap="1">
            <wp:simplePos x="0" y="0"/>
            <wp:positionH relativeFrom="column">
              <wp:posOffset>101600</wp:posOffset>
            </wp:positionH>
            <wp:positionV relativeFrom="paragraph">
              <wp:posOffset>193040</wp:posOffset>
            </wp:positionV>
            <wp:extent cx="5590540" cy="1551940"/>
            <wp:effectExtent l="0" t="0" r="10160" b="10160"/>
            <wp:wrapNone/>
            <wp:docPr id="221496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96109" name="图片 1"/>
                    <pic:cNvPicPr>
                      <a:picLocks noChangeAspect="1"/>
                    </pic:cNvPicPr>
                  </pic:nvPicPr>
                  <pic:blipFill>
                    <a:blip r:embed="rId18"/>
                    <a:stretch>
                      <a:fillRect/>
                    </a:stretch>
                  </pic:blipFill>
                  <pic:spPr>
                    <a:xfrm>
                      <a:off x="0" y="0"/>
                      <a:ext cx="5590540" cy="155194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pStyle w:val="57"/>
        <w:bidi w:val="0"/>
        <w:rPr>
          <w:rFonts w:hint="eastAsia" w:asciiTheme="minorEastAsia" w:hAnsiTheme="minorEastAsia" w:eastAsiaTheme="minorEastAsia" w:cstheme="minorEastAsia"/>
          <w:color w:val="auto"/>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图2-1-3  断层两盘运动形式</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地质力学表明，正断层的形成为受到重力作用及水平张力作用，主要形成形式为侧向拉伸和垂直方向的挤压作用，因此，正断层在形成过程中一般不会有能量的聚集。而逆断层形成的过程中主要受挤压作用，由于岩层在挤压过程中产生变形，导致岩体内部聚集大量弹性能。</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根据红会第一煤矿分公司地质资料显示，位于井田南部的F</w:t>
      </w:r>
      <w:r>
        <w:rPr>
          <w:rFonts w:hint="eastAsia" w:asciiTheme="minorEastAsia" w:hAnsiTheme="minorEastAsia" w:eastAsiaTheme="minorEastAsia" w:cstheme="minorEastAsia"/>
          <w:color w:val="auto"/>
          <w:vertAlign w:val="subscript"/>
          <w:lang w:val="en-US" w:eastAsia="zh-CN"/>
        </w:rPr>
        <w:t>1h</w:t>
      </w:r>
      <w:r>
        <w:rPr>
          <w:rFonts w:hint="eastAsia" w:asciiTheme="minorEastAsia" w:hAnsiTheme="minorEastAsia" w:eastAsiaTheme="minorEastAsia" w:cstheme="minorEastAsia"/>
          <w:color w:val="auto"/>
          <w:lang w:val="en-US" w:eastAsia="zh-CN"/>
        </w:rPr>
        <w:t>逆断层具左行压扭性质，同时F</w:t>
      </w:r>
      <w:r>
        <w:rPr>
          <w:rFonts w:hint="eastAsia" w:asciiTheme="minorEastAsia" w:hAnsiTheme="minorEastAsia" w:eastAsiaTheme="minorEastAsia" w:cstheme="minorEastAsia"/>
          <w:color w:val="auto"/>
          <w:vertAlign w:val="subscript"/>
          <w:lang w:val="en-US" w:eastAsia="zh-CN"/>
        </w:rPr>
        <w:t>1h-1</w:t>
      </w:r>
      <w:r>
        <w:rPr>
          <w:rFonts w:hint="eastAsia" w:asciiTheme="minorEastAsia" w:hAnsiTheme="minorEastAsia" w:eastAsiaTheme="minorEastAsia" w:cstheme="minorEastAsia"/>
          <w:color w:val="auto"/>
          <w:lang w:val="en-US" w:eastAsia="zh-CN"/>
        </w:rPr>
        <w:t>逆断层为F</w:t>
      </w:r>
      <w:r>
        <w:rPr>
          <w:rFonts w:hint="eastAsia" w:asciiTheme="minorEastAsia" w:hAnsiTheme="minorEastAsia" w:eastAsiaTheme="minorEastAsia" w:cstheme="minorEastAsia"/>
          <w:color w:val="auto"/>
          <w:vertAlign w:val="subscript"/>
          <w:lang w:val="en-US" w:eastAsia="zh-CN"/>
        </w:rPr>
        <w:t>1h</w:t>
      </w:r>
      <w:r>
        <w:rPr>
          <w:rFonts w:hint="eastAsia" w:asciiTheme="minorEastAsia" w:hAnsiTheme="minorEastAsia" w:eastAsiaTheme="minorEastAsia" w:cstheme="minorEastAsia"/>
          <w:color w:val="auto"/>
          <w:lang w:val="en-US" w:eastAsia="zh-CN"/>
        </w:rPr>
        <w:t>断层的派生断层。而对于压扭性断层，断层两盘处于挤压高应力状态。一旦某一盘因顶板垮落等影响突发卸荷，导致断层两盘产生相对“回弹”，形成强应力波，易对处于应力集中程度高的巷道造成冲击破坏。以逆断层为例，当下盘受开采扰动影响发生卸荷后，下盘在断层面处对上盘的法向作用力减小，上盘在运移过程蕴藏于上覆坚硬岩层中的能量得到释放，使得上盘向下回落，即为逆断层的回弹。</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另外，逆断层回弹与断层倾角、落差、摩擦因数、卸荷系数等密切相关。断层倾角越大，相同落差下逆断层运移的距离减小，从而造成上覆岩层积聚能量减小，即可释放的用于断层回弹的能量减小，回弹量呈二次函数型减小。摩擦因数的增大不仅造成积聚能量的减小，还导致回弹过程所需消耗的能量增大，回弹量呈指数型减小。卸荷系数反应的是下盘采动作用下的卸压程度，卸压系数越大，说明卸荷程度越小。因此，当卸压系数减小时，下盘对上盘的法向约束力减小，上盘在上覆岩层积聚能量的作用下的回弹量呈二次函数型增大。另外，在相同断层倾角条件下，断层落差的越大意味着上覆岩层所能积聚的能量越大，上盘回弹时所能提供的能量越多，回弹量呈线性增长。</w:t>
      </w:r>
    </w:p>
    <w:bookmarkEnd w:id="95"/>
    <w:bookmarkEnd w:id="96"/>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b/>
          <w:bCs/>
          <w:color w:val="auto"/>
          <w:lang w:val="en-US" w:eastAsia="zh-CN"/>
        </w:rPr>
      </w:pPr>
      <w:bookmarkStart w:id="100" w:name="_Toc200569866"/>
      <w:r>
        <w:rPr>
          <w:rFonts w:hint="eastAsia" w:asciiTheme="minorEastAsia" w:hAnsiTheme="minorEastAsia" w:eastAsiaTheme="minorEastAsia" w:cstheme="minorEastAsia"/>
          <w:b/>
          <w:bCs/>
          <w:color w:val="auto"/>
          <w:lang w:val="en-US" w:eastAsia="zh-CN"/>
        </w:rPr>
        <w:t>五、覆岩坚硬岩层分布特征及关键层判别</w:t>
      </w:r>
      <w:bookmarkEnd w:id="100"/>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val="en-US" w:eastAsia="zh-CN"/>
        </w:rPr>
      </w:pPr>
      <w:r>
        <w:rPr>
          <w:rFonts w:hint="eastAsia"/>
          <w:color w:val="auto"/>
          <w:lang w:val="en-US" w:eastAsia="zh-CN"/>
        </w:rPr>
        <w:t>（一）南</w:t>
      </w:r>
      <w:r>
        <w:rPr>
          <w:rFonts w:hint="eastAsia"/>
          <w:color w:val="auto"/>
        </w:rPr>
        <w:t>101工作面</w:t>
      </w:r>
      <w:r>
        <w:rPr>
          <w:rFonts w:hint="eastAsia"/>
          <w:color w:val="auto"/>
          <w:lang w:val="en-US" w:eastAsia="zh-CN"/>
        </w:rPr>
        <w:t>钻孔</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color w:val="auto"/>
          <w:lang w:val="en-US" w:eastAsia="zh-CN"/>
        </w:rPr>
      </w:pPr>
      <w:r>
        <w:rPr>
          <w:rFonts w:hint="eastAsia"/>
          <w:color w:val="auto"/>
          <w:lang w:val="en-US" w:eastAsia="zh-CN"/>
        </w:rPr>
        <w:t>1.顶板岩性及物理力学性质</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rPr>
      </w:pPr>
      <w:r>
        <w:rPr>
          <w:rFonts w:hint="eastAsia"/>
          <w:color w:val="auto"/>
        </w:rPr>
        <w:t>以101工作面钻孔岩性测试结果为数据基础，对覆岩关键层进行判别，钻孔位置及柱状图</w:t>
      </w:r>
      <w:r>
        <w:rPr>
          <w:rFonts w:hint="eastAsia"/>
          <w:color w:val="auto"/>
          <w:lang w:eastAsia="zh-CN"/>
        </w:rPr>
        <w:t>（</w:t>
      </w:r>
      <w:r>
        <w:rPr>
          <w:rFonts w:hint="eastAsia"/>
          <w:color w:val="auto"/>
          <w:lang w:val="en-US" w:eastAsia="zh-CN"/>
        </w:rPr>
        <w:t>见</w:t>
      </w:r>
      <w:r>
        <w:rPr>
          <w:rFonts w:hint="eastAsia"/>
          <w:color w:val="auto"/>
        </w:rPr>
        <w:t>图2</w:t>
      </w:r>
      <w:r>
        <w:rPr>
          <w:rFonts w:hint="eastAsia"/>
          <w:color w:val="auto"/>
          <w:lang w:val="en-US" w:eastAsia="zh-CN"/>
        </w:rPr>
        <w:t>-1-4</w:t>
      </w:r>
      <w:r>
        <w:rPr>
          <w:rFonts w:hint="eastAsia"/>
          <w:color w:val="auto"/>
          <w:lang w:eastAsia="zh-CN"/>
        </w:rPr>
        <w:t>）</w:t>
      </w:r>
      <w:r>
        <w:rPr>
          <w:rFonts w:hint="eastAsia"/>
          <w:color w:val="auto"/>
        </w:rPr>
        <w:t>。</w:t>
      </w:r>
    </w:p>
    <w:p>
      <w:pPr>
        <w:pStyle w:val="24"/>
        <w:rPr>
          <w:rFonts w:hint="eastAsia" w:ascii="楷体_GB2312" w:hAnsi="楷体_GB2312" w:eastAsia="楷体_GB2312" w:cs="楷体_GB2312"/>
          <w:color w:val="auto"/>
          <w:kern w:val="2"/>
          <w:sz w:val="24"/>
          <w:szCs w:val="24"/>
          <w:lang w:val="en-US" w:eastAsia="zh-CN" w:bidi="ar-SA"/>
          <w14:ligatures w14:val="standardContextual"/>
        </w:rPr>
      </w:pPr>
      <w:r>
        <w:rPr>
          <w:rFonts w:ascii="Times New Roman" w:hAnsi="Times New Roman" w:eastAsia="宋体" w:cs="Times New Roman"/>
          <w:color w:val="auto"/>
          <w:sz w:val="24"/>
          <w:szCs w:val="22"/>
          <w14:ligatures w14:val="none"/>
        </w:rPr>
        <w:drawing>
          <wp:anchor distT="0" distB="0" distL="0" distR="0" simplePos="0" relativeHeight="251664384" behindDoc="1" locked="0" layoutInCell="1" allowOverlap="1">
            <wp:simplePos x="0" y="0"/>
            <wp:positionH relativeFrom="column">
              <wp:posOffset>441960</wp:posOffset>
            </wp:positionH>
            <wp:positionV relativeFrom="paragraph">
              <wp:posOffset>32385</wp:posOffset>
            </wp:positionV>
            <wp:extent cx="4930140" cy="2713355"/>
            <wp:effectExtent l="0" t="0" r="3810" b="10795"/>
            <wp:wrapNone/>
            <wp:docPr id="18367509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50922" name="图片 1"/>
                    <pic:cNvPicPr>
                      <a:picLocks noChangeAspect="1"/>
                    </pic:cNvPicPr>
                  </pic:nvPicPr>
                  <pic:blipFill>
                    <a:blip r:embed="rId19"/>
                    <a:stretch>
                      <a:fillRect/>
                    </a:stretch>
                  </pic:blipFill>
                  <pic:spPr>
                    <a:xfrm>
                      <a:off x="0" y="0"/>
                      <a:ext cx="4930140" cy="2713355"/>
                    </a:xfrm>
                    <a:prstGeom prst="rect">
                      <a:avLst/>
                    </a:prstGeom>
                  </pic:spPr>
                </pic:pic>
              </a:graphicData>
            </a:graphic>
          </wp:anchor>
        </w:drawing>
      </w:r>
    </w:p>
    <w:p>
      <w:pPr>
        <w:pStyle w:val="24"/>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pStyle w:val="24"/>
        <w:rPr>
          <w:rFonts w:hint="eastAsia"/>
          <w:color w:val="auto"/>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default"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（a）钻孔位置</w:t>
      </w: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r>
        <w:rPr>
          <w:rFonts w:ascii="Times New Roman" w:hAnsi="Times New Roman" w:eastAsia="宋体" w:cs="Times New Roman"/>
          <w:color w:val="auto"/>
          <w:kern w:val="2"/>
          <w:sz w:val="21"/>
          <w:szCs w:val="21"/>
          <w:lang w:val="en-US" w:eastAsia="zh-CN" w:bidi="ar-SA"/>
          <w14:ligatures w14:val="none"/>
        </w:rPr>
        <w:drawing>
          <wp:anchor distT="0" distB="0" distL="0" distR="0" simplePos="0" relativeHeight="251661312" behindDoc="1" locked="0" layoutInCell="1" allowOverlap="1">
            <wp:simplePos x="0" y="0"/>
            <wp:positionH relativeFrom="column">
              <wp:posOffset>441960</wp:posOffset>
            </wp:positionH>
            <wp:positionV relativeFrom="paragraph">
              <wp:posOffset>26670</wp:posOffset>
            </wp:positionV>
            <wp:extent cx="4672330" cy="4637405"/>
            <wp:effectExtent l="0" t="0" r="13970" b="10795"/>
            <wp:wrapNone/>
            <wp:docPr id="2065553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55344" name="图片 1"/>
                    <pic:cNvPicPr>
                      <a:picLocks noChangeAspect="1"/>
                    </pic:cNvPicPr>
                  </pic:nvPicPr>
                  <pic:blipFill>
                    <a:blip r:embed="rId20"/>
                    <a:stretch>
                      <a:fillRect/>
                    </a:stretch>
                  </pic:blipFill>
                  <pic:spPr>
                    <a:xfrm>
                      <a:off x="0" y="0"/>
                      <a:ext cx="4672330" cy="4637405"/>
                    </a:xfrm>
                    <a:prstGeom prst="rect">
                      <a:avLst/>
                    </a:prstGeom>
                  </pic:spPr>
                </pic:pic>
              </a:graphicData>
            </a:graphic>
          </wp:anchor>
        </w:drawing>
      </w: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ascii="Times New Roman" w:hAnsi="Times New Roman" w:eastAsia="宋体" w:cs="Times New Roman"/>
          <w:color w:val="auto"/>
          <w:kern w:val="2"/>
          <w:sz w:val="21"/>
          <w:szCs w:val="21"/>
          <w:lang w:val="en-US" w:eastAsia="zh-CN" w:bidi="ar-SA"/>
          <w14:ligatures w14:val="standardContextual"/>
        </w:rPr>
      </w:pPr>
    </w:p>
    <w:p>
      <w:pPr>
        <w:pStyle w:val="24"/>
        <w:rPr>
          <w:rFonts w:ascii="Times New Roman" w:hAnsi="Times New Roman" w:eastAsia="宋体" w:cs="Times New Roman"/>
          <w:color w:val="auto"/>
          <w:kern w:val="2"/>
          <w:sz w:val="21"/>
          <w:szCs w:val="21"/>
          <w:lang w:val="en-US" w:eastAsia="zh-CN" w:bidi="ar-SA"/>
          <w14:ligatures w14:val="standardContextual"/>
        </w:rPr>
      </w:pPr>
    </w:p>
    <w:p>
      <w:pPr>
        <w:pStyle w:val="24"/>
        <w:rPr>
          <w:rFonts w:ascii="Times New Roman" w:hAnsi="Times New Roman" w:eastAsia="宋体" w:cs="Times New Roman"/>
          <w:color w:val="auto"/>
          <w:kern w:val="2"/>
          <w:sz w:val="21"/>
          <w:szCs w:val="21"/>
          <w:lang w:val="en-US" w:eastAsia="zh-CN" w:bidi="ar-SA"/>
          <w14:ligatures w14:val="standardContextual"/>
        </w:rPr>
      </w:pPr>
    </w:p>
    <w:p>
      <w:pPr>
        <w:widowControl w:val="0"/>
        <w:spacing w:line="276" w:lineRule="auto"/>
        <w:ind w:firstLine="480" w:firstLineChars="0"/>
        <w:jc w:val="center"/>
        <w:rPr>
          <w:rFonts w:hint="default"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（b）钻孔柱状图</w:t>
      </w:r>
    </w:p>
    <w:p>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图2-1-4  南101工作面厚硬岩层钻孔位置及柱状图</w:t>
      </w:r>
    </w:p>
    <w:p>
      <w:pPr>
        <w:pStyle w:val="57"/>
        <w:keepNext w:val="0"/>
        <w:keepLines w:val="0"/>
        <w:pageBreakBefore w:val="0"/>
        <w:widowControl w:val="0"/>
        <w:kinsoku/>
        <w:wordWrap/>
        <w:overflowPunct/>
        <w:topLinePunct w:val="0"/>
        <w:autoSpaceDE/>
        <w:autoSpaceDN/>
        <w:bidi w:val="0"/>
        <w:adjustRightInd/>
        <w:snapToGrid/>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2.覆岩厚硬岩层分布</w:t>
      </w:r>
    </w:p>
    <w:p>
      <w:pPr>
        <w:pStyle w:val="57"/>
        <w:keepNext w:val="0"/>
        <w:keepLines w:val="0"/>
        <w:pageBreakBefore w:val="0"/>
        <w:widowControl w:val="0"/>
        <w:kinsoku/>
        <w:wordWrap/>
        <w:overflowPunct/>
        <w:topLinePunct w:val="0"/>
        <w:autoSpaceDE/>
        <w:autoSpaceDN/>
        <w:bidi w:val="0"/>
        <w:adjustRightInd/>
        <w:snapToGrid/>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覆岩中厚硬岩层是指直接顶以上厚度大、强度高的岩层，覆岩中往往含有多层厚硬岩层，可以根据组合梁理论确定覆岩中坚硬岩层位置；</w:t>
      </w:r>
    </w:p>
    <w:p>
      <w:pPr>
        <w:spacing w:line="360" w:lineRule="auto"/>
        <w:ind w:firstLine="480" w:firstLineChars="200"/>
        <w:jc w:val="center"/>
        <w:rPr>
          <w:rFonts w:ascii="Times New Roman" w:hAnsi="Times New Roman" w:eastAsia="宋体" w:cs="Times New Roman"/>
          <w:color w:val="auto"/>
          <w:sz w:val="24"/>
          <w:szCs w:val="22"/>
          <w14:ligatures w14:val="standardContextual"/>
        </w:rPr>
      </w:pPr>
      <w:r>
        <w:rPr>
          <w:rFonts w:ascii="Times New Roman" w:hAnsi="Times New Roman" w:eastAsia="宋体" w:cs="Times New Roman"/>
          <w:color w:val="auto"/>
          <w:position w:val="-28"/>
          <w:sz w:val="24"/>
          <w:szCs w:val="22"/>
          <w14:ligatures w14:val="standardContextual"/>
        </w:rPr>
        <w:object>
          <v:shape id="_x0000_i1025" o:spt="75" type="#_x0000_t75" style="height:32.8pt;width:147.15pt;" o:ole="t" filled="f" o:preferrelative="t" stroked="f" coordsize="21600,21600">
            <v:path/>
            <v:fill on="f" focussize="0,0"/>
            <v:stroke on="f" joinstyle="miter"/>
            <v:imagedata r:id="rId22" o:title=""/>
            <o:lock v:ext="edit" aspectratio="t"/>
            <w10:wrap type="none"/>
            <w10:anchorlock/>
          </v:shape>
          <o:OLEObject Type="Embed" ProgID="Equation.DSMT4" ShapeID="_x0000_i1025" DrawAspect="Content" ObjectID="_1468075725" r:id="rId21">
            <o:LockedField>false</o:LockedField>
          </o:OLEObject>
        </w:object>
      </w:r>
    </w:p>
    <w:p>
      <w:pPr>
        <w:pStyle w:val="57"/>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color w:val="auto"/>
          <w:lang w:val="en-US" w:eastAsia="zh-CN"/>
        </w:rPr>
      </w:pPr>
      <w:r>
        <w:rPr>
          <w:rFonts w:hint="eastAsia"/>
          <w:color w:val="auto"/>
          <w:lang w:val="en-US" w:eastAsia="zh-CN"/>
        </w:rPr>
        <w:t>式中  E</w:t>
      </w:r>
      <w:r>
        <w:rPr>
          <w:rFonts w:hint="eastAsia"/>
          <w:color w:val="auto"/>
          <w:vertAlign w:val="subscript"/>
          <w:lang w:val="en-US" w:eastAsia="zh-CN"/>
        </w:rPr>
        <w:t>i</w:t>
      </w:r>
      <w:r>
        <w:rPr>
          <w:rFonts w:hint="eastAsia"/>
          <w:color w:val="auto"/>
          <w:lang w:val="en-US" w:eastAsia="zh-CN"/>
        </w:rPr>
        <w:t>—</w:t>
      </w:r>
      <w:r>
        <w:rPr>
          <w:rFonts w:hint="eastAsia"/>
          <w:color w:val="auto"/>
        </w:rPr>
        <w:t>第i层岩层的弹性模量</w:t>
      </w:r>
      <w:r>
        <w:rPr>
          <w:rFonts w:hint="eastAsia"/>
          <w:color w:val="auto"/>
          <w:lang w:eastAsia="zh-CN"/>
        </w:rPr>
        <w:t>，</w:t>
      </w:r>
      <w:r>
        <w:rPr>
          <w:rFonts w:hint="eastAsia"/>
          <w:color w:val="auto"/>
          <w:lang w:val="en-US" w:eastAsia="zh-CN"/>
        </w:rPr>
        <w:t>单位：GPa；</w:t>
      </w:r>
    </w:p>
    <w:p>
      <w:pPr>
        <w:pStyle w:val="57"/>
        <w:keepNext w:val="0"/>
        <w:keepLines w:val="0"/>
        <w:pageBreakBefore w:val="0"/>
        <w:widowControl w:val="0"/>
        <w:kinsoku/>
        <w:wordWrap/>
        <w:overflowPunct/>
        <w:topLinePunct w:val="0"/>
        <w:autoSpaceDE/>
        <w:autoSpaceDN/>
        <w:bidi w:val="0"/>
        <w:adjustRightInd/>
        <w:snapToGrid/>
        <w:ind w:firstLine="720" w:firstLineChars="300"/>
        <w:textAlignment w:val="auto"/>
        <w:rPr>
          <w:rFonts w:hint="eastAsia"/>
          <w:color w:val="auto"/>
          <w:lang w:eastAsia="zh-CN"/>
        </w:rPr>
      </w:pPr>
      <w:r>
        <w:rPr>
          <w:rFonts w:hint="eastAsia"/>
          <w:color w:val="auto"/>
          <w:lang w:val="en-US" w:eastAsia="zh-CN"/>
        </w:rPr>
        <w:t>h</w:t>
      </w:r>
      <w:r>
        <w:rPr>
          <w:rFonts w:hint="eastAsia"/>
          <w:color w:val="auto"/>
          <w:vertAlign w:val="subscript"/>
          <w:lang w:val="en-US" w:eastAsia="zh-CN"/>
        </w:rPr>
        <w:t>i</w:t>
      </w:r>
      <w:r>
        <w:rPr>
          <w:rFonts w:hint="eastAsia"/>
          <w:color w:val="auto"/>
          <w:lang w:val="en-US" w:eastAsia="zh-CN"/>
        </w:rPr>
        <w:t>—</w:t>
      </w:r>
      <w:r>
        <w:rPr>
          <w:rFonts w:hint="eastAsia"/>
          <w:color w:val="auto"/>
        </w:rPr>
        <w:t>第i层岩层的厚度，表示岩层在垂直方向上的尺寸</w:t>
      </w:r>
      <w:r>
        <w:rPr>
          <w:rFonts w:hint="eastAsia"/>
          <w:color w:val="auto"/>
          <w:lang w:eastAsia="zh-CN"/>
        </w:rPr>
        <w:t>，</w:t>
      </w:r>
      <w:r>
        <w:rPr>
          <w:rFonts w:hint="eastAsia"/>
          <w:color w:val="auto"/>
        </w:rPr>
        <w:t>单位：m</w:t>
      </w:r>
      <w:r>
        <w:rPr>
          <w:rFonts w:hint="eastAsia"/>
          <w:color w:val="auto"/>
          <w:lang w:eastAsia="zh-CN"/>
        </w:rPr>
        <w:t>；</w:t>
      </w:r>
    </w:p>
    <w:p>
      <w:pPr>
        <w:pStyle w:val="57"/>
        <w:keepNext w:val="0"/>
        <w:keepLines w:val="0"/>
        <w:pageBreakBefore w:val="0"/>
        <w:widowControl w:val="0"/>
        <w:kinsoku/>
        <w:wordWrap/>
        <w:overflowPunct/>
        <w:topLinePunct w:val="0"/>
        <w:autoSpaceDE/>
        <w:autoSpaceDN/>
        <w:bidi w:val="0"/>
        <w:adjustRightInd/>
        <w:snapToGrid/>
        <w:ind w:firstLine="720" w:firstLineChars="300"/>
        <w:textAlignment w:val="auto"/>
        <w:rPr>
          <w:rFonts w:hint="eastAsia"/>
          <w:color w:val="auto"/>
          <w:lang w:val="en-US" w:eastAsia="zh-CN"/>
        </w:rPr>
      </w:pPr>
      <w:r>
        <w:rPr>
          <w:rFonts w:hint="eastAsia"/>
          <w:color w:val="auto"/>
          <w:lang w:val="en-US" w:eastAsia="zh-CN"/>
        </w:rPr>
        <w:t>γ</w:t>
      </w:r>
      <w:r>
        <w:rPr>
          <w:rFonts w:hint="eastAsia"/>
          <w:color w:val="auto"/>
          <w:vertAlign w:val="subscript"/>
          <w:lang w:val="en-US" w:eastAsia="zh-CN"/>
        </w:rPr>
        <w:t>i</w:t>
      </w:r>
      <w:r>
        <w:rPr>
          <w:rFonts w:hint="eastAsia"/>
          <w:color w:val="auto"/>
          <w:lang w:val="en-US" w:eastAsia="zh-CN"/>
        </w:rPr>
        <w:t>—</w:t>
      </w:r>
      <w:r>
        <w:rPr>
          <w:rFonts w:hint="eastAsia"/>
          <w:color w:val="auto"/>
        </w:rPr>
        <w:t>第i层岩层的容重</w:t>
      </w:r>
      <w:r>
        <w:rPr>
          <w:rFonts w:hint="eastAsia"/>
          <w:color w:val="auto"/>
          <w:lang w:eastAsia="zh-CN"/>
        </w:rPr>
        <w:t>，</w:t>
      </w:r>
      <w:r>
        <w:rPr>
          <w:rFonts w:hint="eastAsia"/>
          <w:color w:val="auto"/>
        </w:rPr>
        <w:t>单位：</w:t>
      </w:r>
      <w:r>
        <w:rPr>
          <w:rFonts w:hint="eastAsia"/>
          <w:color w:val="auto"/>
          <w:lang w:val="en-US" w:eastAsia="zh-CN"/>
        </w:rPr>
        <w:t>k</w:t>
      </w:r>
      <w:r>
        <w:rPr>
          <w:rFonts w:hint="eastAsia"/>
          <w:color w:val="auto"/>
        </w:rPr>
        <w:t>N/m</w:t>
      </w:r>
      <w:r>
        <w:rPr>
          <w:rFonts w:hint="eastAsia"/>
          <w:color w:val="auto"/>
          <w:vertAlign w:val="superscript"/>
          <w:lang w:val="en-US" w:eastAsia="zh-CN"/>
        </w:rPr>
        <w:t>3</w:t>
      </w:r>
      <w:r>
        <w:rPr>
          <w:rFonts w:hint="eastAsia"/>
          <w:color w:val="auto"/>
          <w:lang w:eastAsia="zh-CN"/>
        </w:rPr>
        <w:t>。</w:t>
      </w:r>
    </w:p>
    <w:p>
      <w:pPr>
        <w:pStyle w:val="57"/>
        <w:keepNext w:val="0"/>
        <w:keepLines w:val="0"/>
        <w:pageBreakBefore w:val="0"/>
        <w:widowControl w:val="0"/>
        <w:kinsoku/>
        <w:wordWrap/>
        <w:overflowPunct/>
        <w:topLinePunct w:val="0"/>
        <w:autoSpaceDE/>
        <w:autoSpaceDN/>
        <w:bidi w:val="0"/>
        <w:adjustRightInd/>
        <w:snapToGrid/>
        <w:textAlignment w:val="auto"/>
        <w:rPr>
          <w:color w:val="auto"/>
        </w:rPr>
      </w:pPr>
      <w:r>
        <w:rPr>
          <w:rFonts w:hint="eastAsia"/>
          <w:color w:val="auto"/>
        </w:rPr>
        <w:t>若</w:t>
      </w:r>
      <w:r>
        <w:rPr>
          <w:rFonts w:hint="eastAsia"/>
          <w:color w:val="auto"/>
          <w:lang w:val="en-US" w:eastAsia="zh-CN"/>
        </w:rPr>
        <w:t>上式</w:t>
      </w:r>
      <w:r>
        <w:rPr>
          <w:rFonts w:hint="eastAsia"/>
          <w:color w:val="auto"/>
        </w:rPr>
        <w:t>成立，则说明该岩层为厚硬岩层，接着计算下一层，以此类推到最后一层硬岩。为了便于计算，对覆岩进行简化，将层厚为1m的岩层进行合并处理，经过计算得到该钻</w:t>
      </w:r>
      <w:r>
        <w:rPr>
          <w:rFonts w:hint="eastAsia"/>
          <w:color w:val="auto"/>
          <w:lang w:val="en-US" w:eastAsia="zh-CN"/>
        </w:rPr>
        <w:t>孔</w:t>
      </w:r>
      <w:r>
        <w:rPr>
          <w:rFonts w:hint="eastAsia"/>
          <w:color w:val="auto"/>
        </w:rPr>
        <w:t>下</w:t>
      </w:r>
      <w:r>
        <w:rPr>
          <w:rFonts w:hint="eastAsia"/>
          <w:color w:val="auto"/>
          <w:lang w:val="en-US" w:eastAsia="zh-CN"/>
        </w:rPr>
        <w:t>南</w:t>
      </w:r>
      <w:r>
        <w:rPr>
          <w:rFonts w:hint="eastAsia"/>
          <w:color w:val="auto"/>
        </w:rPr>
        <w:t>101工作面煤层上方厚硬岩层分布，具体见表2-</w:t>
      </w:r>
      <w:r>
        <w:rPr>
          <w:rFonts w:hint="eastAsia"/>
          <w:color w:val="auto"/>
          <w:lang w:val="en-US" w:eastAsia="zh-CN"/>
        </w:rPr>
        <w:t>1-</w:t>
      </w:r>
      <w:r>
        <w:rPr>
          <w:rFonts w:hint="eastAsia"/>
          <w:color w:val="auto"/>
        </w:rPr>
        <w:t>1</w:t>
      </w:r>
      <w:r>
        <w:rPr>
          <w:rFonts w:hint="eastAsia"/>
          <w:color w:val="auto"/>
          <w:lang w:eastAsia="zh-CN"/>
        </w:rPr>
        <w:t>，</w:t>
      </w:r>
      <w:r>
        <w:rPr>
          <w:rFonts w:hint="eastAsia"/>
          <w:color w:val="auto"/>
          <w:lang w:val="en-US" w:eastAsia="zh-CN"/>
        </w:rPr>
        <w:t>表中橙色部分表示</w:t>
      </w:r>
      <w:r>
        <w:rPr>
          <w:rFonts w:hint="eastAsia"/>
          <w:color w:val="auto"/>
        </w:rPr>
        <w:t>厚硬岩层</w:t>
      </w:r>
      <w:r>
        <w:rPr>
          <w:rFonts w:hint="eastAsia"/>
          <w:color w:val="auto"/>
          <w:lang w:eastAsia="zh-CN"/>
        </w:rPr>
        <w:t>，</w:t>
      </w:r>
      <w:r>
        <w:rPr>
          <w:rFonts w:hint="eastAsia"/>
          <w:color w:val="auto"/>
          <w:lang w:val="en-US" w:eastAsia="zh-CN"/>
        </w:rPr>
        <w:t>黑色部分表示煤层</w:t>
      </w:r>
      <w:r>
        <w:rPr>
          <w:rFonts w:hint="eastAsia"/>
          <w:color w:val="auto"/>
        </w:rPr>
        <w:t>。</w:t>
      </w:r>
    </w:p>
    <w:p>
      <w:pPr>
        <w:pStyle w:val="57"/>
        <w:bidi w:val="0"/>
        <w:ind w:left="0" w:leftChars="0" w:firstLine="0" w:firstLineChars="0"/>
        <w:jc w:val="both"/>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表2-1-1                         覆岩厚硬岩层分布表</w:t>
      </w:r>
    </w:p>
    <w:tbl>
      <w:tblPr>
        <w:tblStyle w:val="25"/>
        <w:tblW w:w="4998" w:type="pct"/>
        <w:jc w:val="center"/>
        <w:tblLayout w:type="autofit"/>
        <w:tblCellMar>
          <w:top w:w="0" w:type="dxa"/>
          <w:left w:w="108" w:type="dxa"/>
          <w:bottom w:w="0" w:type="dxa"/>
          <w:right w:w="108" w:type="dxa"/>
        </w:tblCellMar>
      </w:tblPr>
      <w:tblGrid>
        <w:gridCol w:w="2437"/>
        <w:gridCol w:w="1681"/>
        <w:gridCol w:w="2913"/>
        <w:gridCol w:w="2253"/>
      </w:tblGrid>
      <w:tr>
        <w:tblPrEx>
          <w:tblCellMar>
            <w:top w:w="0" w:type="dxa"/>
            <w:left w:w="108" w:type="dxa"/>
            <w:bottom w:w="0" w:type="dxa"/>
            <w:right w:w="108" w:type="dxa"/>
          </w:tblCellMar>
        </w:tblPrEx>
        <w:trPr>
          <w:trHeight w:val="794"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岩</w:t>
            </w:r>
            <w:r>
              <w:rPr>
                <w:rFonts w:hint="eastAsia" w:ascii="楷体_GB2312" w:hAnsi="楷体_GB2312" w:eastAsia="楷体_GB2312" w:cs="楷体_GB2312"/>
                <w:color w:val="auto"/>
                <w:kern w:val="0"/>
                <w:sz w:val="21"/>
                <w:szCs w:val="21"/>
                <w:lang w:val="en-US" w:eastAsia="zh-CN"/>
                <w14:ligatures w14:val="none"/>
              </w:rPr>
              <w:t xml:space="preserve">    </w:t>
            </w:r>
            <w:r>
              <w:rPr>
                <w:rFonts w:hint="eastAsia" w:ascii="楷体_GB2312" w:hAnsi="楷体_GB2312" w:eastAsia="楷体_GB2312" w:cs="楷体_GB2312"/>
                <w:color w:val="auto"/>
                <w:kern w:val="0"/>
                <w:sz w:val="21"/>
                <w:szCs w:val="21"/>
                <w14:ligatures w14:val="none"/>
              </w:rPr>
              <w:t>性</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eastAsia="zh-CN"/>
                <w14:ligatures w14:val="none"/>
              </w:rPr>
            </w:pPr>
            <w:r>
              <w:rPr>
                <w:rFonts w:hint="eastAsia" w:ascii="楷体_GB2312" w:hAnsi="楷体_GB2312" w:eastAsia="楷体_GB2312" w:cs="楷体_GB2312"/>
                <w:color w:val="auto"/>
                <w:kern w:val="0"/>
                <w:sz w:val="21"/>
                <w:szCs w:val="21"/>
                <w14:ligatures w14:val="none"/>
              </w:rPr>
              <w:t>层</w:t>
            </w:r>
            <w:r>
              <w:rPr>
                <w:rFonts w:hint="eastAsia" w:ascii="楷体_GB2312" w:hAnsi="楷体_GB2312" w:eastAsia="楷体_GB2312" w:cs="楷体_GB2312"/>
                <w:color w:val="auto"/>
                <w:kern w:val="0"/>
                <w:sz w:val="21"/>
                <w:szCs w:val="21"/>
                <w:lang w:val="en-US" w:eastAsia="zh-CN"/>
                <w14:ligatures w14:val="none"/>
              </w:rPr>
              <w:t xml:space="preserve">  </w:t>
            </w:r>
            <w:r>
              <w:rPr>
                <w:rFonts w:hint="eastAsia" w:ascii="楷体_GB2312" w:hAnsi="楷体_GB2312" w:eastAsia="楷体_GB2312" w:cs="楷体_GB2312"/>
                <w:color w:val="auto"/>
                <w:kern w:val="0"/>
                <w:sz w:val="21"/>
                <w:szCs w:val="21"/>
                <w14:ligatures w14:val="none"/>
              </w:rPr>
              <w:t>厚</w:t>
            </w:r>
            <w:r>
              <w:rPr>
                <w:rFonts w:hint="eastAsia" w:ascii="楷体_GB2312" w:hAnsi="楷体_GB2312" w:eastAsia="楷体_GB2312" w:cs="楷体_GB2312"/>
                <w:color w:val="auto"/>
                <w:kern w:val="0"/>
                <w:sz w:val="21"/>
                <w:szCs w:val="21"/>
                <w:lang w:eastAsia="zh-CN"/>
                <w14:ligatures w14:val="none"/>
              </w:rPr>
              <w:t>（</w:t>
            </w:r>
            <w:r>
              <w:rPr>
                <w:rFonts w:hint="eastAsia" w:ascii="楷体_GB2312" w:hAnsi="楷体_GB2312" w:eastAsia="楷体_GB2312" w:cs="楷体_GB2312"/>
                <w:color w:val="auto"/>
                <w:kern w:val="0"/>
                <w:sz w:val="21"/>
                <w:szCs w:val="21"/>
                <w:lang w:val="en-US" w:eastAsia="zh-CN"/>
                <w14:ligatures w14:val="none"/>
              </w:rPr>
              <w:t>m</w:t>
            </w:r>
            <w:r>
              <w:rPr>
                <w:rFonts w:hint="eastAsia" w:ascii="楷体_GB2312" w:hAnsi="楷体_GB2312" w:eastAsia="楷体_GB2312" w:cs="楷体_GB2312"/>
                <w:color w:val="auto"/>
                <w:kern w:val="0"/>
                <w:sz w:val="21"/>
                <w:szCs w:val="21"/>
                <w:lang w:eastAsia="zh-CN"/>
                <w14:ligatures w14:val="none"/>
              </w:rPr>
              <w:t>）</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与煤层垂距（m）</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厚硬岩层</w:t>
            </w: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粗砂岩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8</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72</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8</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64</w:t>
            </w:r>
          </w:p>
        </w:tc>
        <w:tc>
          <w:tcPr>
            <w:tcW w:w="1213" w:type="pct"/>
            <w:tcBorders>
              <w:top w:val="single" w:color="000000" w:sz="4" w:space="0"/>
              <w:left w:val="nil"/>
              <w:bottom w:val="single" w:color="000000" w:sz="4" w:space="0"/>
              <w:right w:val="single" w:color="auto" w:sz="4" w:space="0"/>
            </w:tcBorders>
            <w:shd w:val="clear" w:color="auto" w:fill="FFC000"/>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泥岩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59</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54</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9</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45</w:t>
            </w:r>
          </w:p>
        </w:tc>
        <w:tc>
          <w:tcPr>
            <w:tcW w:w="1213" w:type="pct"/>
            <w:tcBorders>
              <w:top w:val="single" w:color="000000" w:sz="4" w:space="0"/>
              <w:left w:val="nil"/>
              <w:bottom w:val="single" w:color="000000" w:sz="4" w:space="0"/>
              <w:right w:val="single" w:color="auto" w:sz="4" w:space="0"/>
            </w:tcBorders>
            <w:shd w:val="clear" w:color="auto" w:fill="FFC000"/>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9</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36</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33</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7</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26</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23</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21</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905" w:type="pct"/>
            <w:tcBorders>
              <w:top w:val="single" w:color="000000" w:sz="4" w:space="0"/>
              <w:left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10</w:t>
            </w:r>
          </w:p>
        </w:tc>
        <w:tc>
          <w:tcPr>
            <w:tcW w:w="1568" w:type="pct"/>
            <w:tcBorders>
              <w:top w:val="single" w:color="000000" w:sz="4" w:space="0"/>
              <w:left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11</w:t>
            </w:r>
          </w:p>
        </w:tc>
        <w:tc>
          <w:tcPr>
            <w:tcW w:w="1213" w:type="pct"/>
            <w:tcBorders>
              <w:top w:val="single" w:color="000000" w:sz="4" w:space="0"/>
              <w:left w:val="nil"/>
              <w:right w:val="single" w:color="auto" w:sz="4" w:space="0"/>
            </w:tcBorders>
            <w:shd w:val="clear" w:color="auto" w:fill="FFC000"/>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灰岩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w:t>
            </w:r>
          </w:p>
        </w:tc>
        <w:tc>
          <w:tcPr>
            <w:tcW w:w="1213" w:type="pct"/>
            <w:tcBorders>
              <w:top w:val="single" w:color="000000" w:sz="4" w:space="0"/>
              <w:left w:val="nil"/>
              <w:bottom w:val="single" w:color="000000"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石英砂岩</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w:t>
            </w:r>
          </w:p>
        </w:tc>
        <w:tc>
          <w:tcPr>
            <w:tcW w:w="156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0</w:t>
            </w:r>
          </w:p>
        </w:tc>
        <w:tc>
          <w:tcPr>
            <w:tcW w:w="1213" w:type="pct"/>
            <w:tcBorders>
              <w:top w:val="single" w:color="000000" w:sz="4" w:space="0"/>
              <w:left w:val="nil"/>
              <w:bottom w:val="single" w:color="000000" w:sz="4" w:space="0"/>
              <w:right w:val="single" w:color="auto" w:sz="4" w:space="0"/>
            </w:tcBorders>
            <w:shd w:val="clear" w:color="auto" w:fill="FFC000"/>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13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煤</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23.69</w:t>
            </w:r>
          </w:p>
        </w:tc>
        <w:tc>
          <w:tcPr>
            <w:tcW w:w="1568" w:type="pct"/>
            <w:tcBorders>
              <w:top w:val="single" w:color="000000" w:sz="4" w:space="0"/>
              <w:left w:val="single" w:color="000000" w:sz="4" w:space="0"/>
              <w:bottom w:val="single" w:color="000000" w:sz="4" w:space="0"/>
              <w:right w:val="single" w:color="000000" w:sz="4" w:space="0"/>
            </w:tcBorders>
            <w:shd w:val="clear" w:color="auto" w:fill="000000"/>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c>
          <w:tcPr>
            <w:tcW w:w="1213" w:type="pct"/>
            <w:tcBorders>
              <w:top w:val="single" w:color="000000" w:sz="4" w:space="0"/>
              <w:left w:val="nil"/>
              <w:bottom w:val="single" w:color="000000" w:sz="4" w:space="0"/>
              <w:right w:val="single" w:color="auto" w:sz="4" w:space="0"/>
            </w:tcBorders>
            <w:shd w:val="clear" w:color="auto" w:fill="000000"/>
            <w:vAlign w:val="center"/>
          </w:tcPr>
          <w:p>
            <w:pPr>
              <w:keepNext w:val="0"/>
              <w:keepLines w:val="0"/>
              <w:pageBreakBefore w:val="0"/>
              <w:widowControl/>
              <w:kinsoku/>
              <w:wordWrap/>
              <w:overflowPunct/>
              <w:topLinePunct w:val="0"/>
              <w:autoSpaceDE/>
              <w:autoSpaceDN/>
              <w:bidi w:val="0"/>
              <w:adjustRightInd/>
              <w:snapToGrid/>
              <w:spacing w:line="360" w:lineRule="exact"/>
              <w:ind w:firstLine="0" w:firstLineChars="0"/>
              <w:jc w:val="center"/>
              <w:textAlignment w:val="auto"/>
              <w:rPr>
                <w:rFonts w:hint="eastAsia" w:ascii="楷体_GB2312" w:hAnsi="楷体_GB2312" w:eastAsia="楷体_GB2312" w:cs="楷体_GB2312"/>
                <w:color w:val="auto"/>
                <w:kern w:val="0"/>
                <w:sz w:val="21"/>
                <w:szCs w:val="21"/>
                <w14:ligatures w14:val="none"/>
              </w:rPr>
            </w:pPr>
          </w:p>
        </w:tc>
      </w:tr>
    </w:tbl>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sz w:val="24"/>
          <w:szCs w:val="22"/>
          <w14:ligatures w14:val="standardContextual"/>
        </w:rPr>
      </w:pPr>
      <w:r>
        <w:rPr>
          <w:rFonts w:hint="eastAsia" w:asciiTheme="minorEastAsia" w:hAnsiTheme="minorEastAsia" w:eastAsiaTheme="minorEastAsia" w:cstheme="minorEastAsia"/>
          <w:color w:val="auto"/>
          <w:sz w:val="24"/>
          <w:szCs w:val="22"/>
          <w:lang w:val="en-US" w:eastAsia="zh-CN"/>
          <w14:ligatures w14:val="standardContextual"/>
        </w:rPr>
        <w:t>3.</w:t>
      </w:r>
      <w:r>
        <w:rPr>
          <w:rFonts w:hint="eastAsia" w:asciiTheme="minorEastAsia" w:hAnsiTheme="minorEastAsia" w:eastAsiaTheme="minorEastAsia" w:cstheme="minorEastAsia"/>
          <w:color w:val="auto"/>
          <w:sz w:val="24"/>
          <w:szCs w:val="22"/>
          <w14:ligatures w14:val="standardContextual"/>
        </w:rPr>
        <w:t>各硬岩层载荷及破断距计算</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sz w:val="24"/>
          <w:szCs w:val="22"/>
          <w14:ligatures w14:val="standardContextual"/>
        </w:rPr>
      </w:pPr>
      <w:r>
        <w:rPr>
          <w:rFonts w:hint="eastAsia" w:asciiTheme="minorEastAsia" w:hAnsiTheme="minorEastAsia" w:eastAsiaTheme="minorEastAsia" w:cstheme="minorEastAsia"/>
          <w:color w:val="auto"/>
          <w:sz w:val="24"/>
          <w:szCs w:val="22"/>
          <w14:ligatures w14:val="standardContextual"/>
        </w:rPr>
        <w:t>计算各硬岩层的承受载荷及破断距。坚硬岩层破断是弹性基础上板的破断问题,但为了简化计算，硬岩层破断距采用两端固支梁模型计算，则第</w:t>
      </w:r>
      <w:r>
        <w:rPr>
          <w:rFonts w:hint="eastAsia" w:asciiTheme="minorEastAsia" w:hAnsiTheme="minorEastAsia" w:eastAsiaTheme="minorEastAsia" w:cstheme="minorEastAsia"/>
          <w:color w:val="auto"/>
          <w:sz w:val="24"/>
          <w:szCs w:val="22"/>
          <w:lang w:val="en-US" w:eastAsia="zh-CN"/>
          <w14:ligatures w14:val="standardContextual"/>
        </w:rPr>
        <w:t>k</w:t>
      </w:r>
      <w:r>
        <w:rPr>
          <w:rFonts w:hint="eastAsia" w:asciiTheme="minorEastAsia" w:hAnsiTheme="minorEastAsia" w:eastAsiaTheme="minorEastAsia" w:cstheme="minorEastAsia"/>
          <w:color w:val="auto"/>
          <w:sz w:val="24"/>
          <w:szCs w:val="22"/>
          <w14:ligatures w14:val="standardContextual"/>
        </w:rPr>
        <w:t>层硬岩层破断距</w:t>
      </w:r>
      <w:r>
        <w:rPr>
          <w:rFonts w:hint="eastAsia" w:asciiTheme="minorEastAsia" w:hAnsiTheme="minorEastAsia" w:eastAsiaTheme="minorEastAsia" w:cstheme="minorEastAsia"/>
          <w:color w:val="auto"/>
          <w:sz w:val="24"/>
          <w:szCs w:val="22"/>
          <w:lang w:val="en-US" w:eastAsia="zh-CN"/>
          <w14:ligatures w14:val="standardContextual"/>
        </w:rPr>
        <w:t>l</w:t>
      </w:r>
      <w:r>
        <w:rPr>
          <w:rFonts w:hint="eastAsia" w:asciiTheme="minorEastAsia" w:hAnsiTheme="minorEastAsia" w:eastAsiaTheme="minorEastAsia" w:cstheme="minorEastAsia"/>
          <w:color w:val="auto"/>
          <w:sz w:val="24"/>
          <w:szCs w:val="22"/>
          <w:vertAlign w:val="subscript"/>
          <w:lang w:val="en-US" w:eastAsia="zh-CN"/>
          <w14:ligatures w14:val="standardContextual"/>
        </w:rPr>
        <w:t>k</w:t>
      </w:r>
      <w:r>
        <w:rPr>
          <w:rFonts w:hint="eastAsia" w:asciiTheme="minorEastAsia" w:hAnsiTheme="minorEastAsia" w:eastAsiaTheme="minorEastAsia" w:cstheme="minorEastAsia"/>
          <w:color w:val="auto"/>
          <w:sz w:val="24"/>
          <w:szCs w:val="22"/>
          <w14:ligatures w14:val="standardContextual"/>
        </w:rPr>
        <w:t>下式计算:</w:t>
      </w:r>
    </w:p>
    <w:p>
      <w:pPr>
        <w:widowControl/>
        <w:spacing w:line="360" w:lineRule="auto"/>
        <w:ind w:firstLine="0" w:firstLineChars="0"/>
        <w:jc w:val="center"/>
        <w:rPr>
          <w:rFonts w:hint="eastAsia" w:asciiTheme="minorEastAsia" w:hAnsiTheme="minorEastAsia" w:eastAsiaTheme="minorEastAsia" w:cstheme="minorEastAsia"/>
          <w:b w:val="0"/>
          <w:bCs/>
          <w:color w:val="auto"/>
          <w:kern w:val="2"/>
          <w:sz w:val="24"/>
          <w:szCs w:val="22"/>
          <w:lang w:val="en-US" w:eastAsia="zh-CN" w:bidi="ar-SA"/>
          <w14:ligatures w14:val="standardContextual"/>
        </w:rPr>
      </w:pPr>
      <w:r>
        <w:rPr>
          <w:rFonts w:hint="eastAsia" w:asciiTheme="minorEastAsia" w:hAnsiTheme="minorEastAsia" w:eastAsiaTheme="minorEastAsia" w:cstheme="minorEastAsia"/>
          <w:b w:val="0"/>
          <w:bCs/>
          <w:color w:val="auto"/>
          <w:kern w:val="2"/>
          <w:position w:val="-30"/>
          <w:sz w:val="24"/>
          <w:szCs w:val="22"/>
          <w:lang w:val="en-US" w:eastAsia="zh-CN" w:bidi="ar-SA"/>
          <w14:ligatures w14:val="standardContextual"/>
        </w:rPr>
        <w:object>
          <v:shape id="_x0000_i1026" o:spt="75" type="#_x0000_t75" style="height:39.7pt;width:134.25pt;" o:ole="t" filled="f" o:preferrelative="t" stroked="f" coordsize="21600,21600">
            <v:path/>
            <v:fill on="f" focussize="0,0"/>
            <v:stroke on="f" joinstyle="miter"/>
            <v:imagedata r:id="rId24" o:title=""/>
            <o:lock v:ext="edit" aspectratio="t"/>
            <w10:wrap type="none"/>
            <w10:anchorlock/>
          </v:shape>
          <o:OLEObject Type="Embed" ProgID="Equation.DSMT4" ShapeID="_x0000_i1026" DrawAspect="Content" ObjectID="_1468075726" r:id="rId23">
            <o:LockedField>false</o:LockedField>
          </o:OLEObject>
        </w:object>
      </w:r>
    </w:p>
    <w:p>
      <w:pPr>
        <w:pStyle w:val="57"/>
        <w:keepNext w:val="0"/>
        <w:keepLines w:val="0"/>
        <w:pageBreakBefore w:val="0"/>
        <w:widowControl w:val="0"/>
        <w:kinsoku/>
        <w:wordWrap/>
        <w:overflowPunct/>
        <w:topLinePunct w:val="0"/>
        <w:autoSpaceDE/>
        <w:autoSpaceDN/>
        <w:bidi w:val="0"/>
        <w:adjustRightInd/>
        <w:snapToGrid/>
        <w:spacing w:line="540" w:lineRule="exact"/>
        <w:ind w:left="0" w:leftChars="0" w:firstLine="0" w:firstLineChars="0"/>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rPr>
        <w:t>式中</w:t>
      </w:r>
      <w:r>
        <w:rPr>
          <w:rFonts w:hint="eastAsia" w:asciiTheme="minorEastAsia" w:hAnsiTheme="minorEastAsia" w:eastAsiaTheme="minorEastAsia" w:cstheme="minorEastAsia"/>
          <w:color w:val="auto"/>
          <w:lang w:val="en-US" w:eastAsia="zh-CN"/>
        </w:rPr>
        <w:t xml:space="preserve">  l</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val="en-US"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层硬岩层的</w:t>
      </w:r>
      <w:r>
        <w:rPr>
          <w:rFonts w:hint="eastAsia" w:asciiTheme="minorEastAsia" w:hAnsiTheme="minorEastAsia" w:eastAsiaTheme="minorEastAsia" w:cstheme="minorEastAsia"/>
          <w:color w:val="auto"/>
          <w:lang w:val="en-US" w:eastAsia="zh-CN"/>
        </w:rPr>
        <w:t>破断距，单位：m；</w:t>
      </w:r>
    </w:p>
    <w:p>
      <w:pPr>
        <w:pStyle w:val="57"/>
        <w:keepNext w:val="0"/>
        <w:keepLines w:val="0"/>
        <w:pageBreakBefore w:val="0"/>
        <w:widowControl w:val="0"/>
        <w:kinsoku/>
        <w:wordWrap/>
        <w:overflowPunct/>
        <w:topLinePunct w:val="0"/>
        <w:autoSpaceDE/>
        <w:autoSpaceDN/>
        <w:bidi w:val="0"/>
        <w:adjustRightInd/>
        <w:snapToGrid/>
        <w:spacing w:line="540" w:lineRule="exact"/>
        <w:ind w:firstLine="720" w:firstLineChars="3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h</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val="en-US"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层硬岩层的厚度，</w:t>
      </w:r>
      <w:r>
        <w:rPr>
          <w:rFonts w:hint="eastAsia" w:asciiTheme="minorEastAsia" w:hAnsiTheme="minorEastAsia" w:eastAsiaTheme="minorEastAsia" w:cstheme="minorEastAsia"/>
          <w:color w:val="auto"/>
          <w:lang w:val="en-US" w:eastAsia="zh-CN"/>
        </w:rPr>
        <w:t>单位：</w:t>
      </w:r>
      <w:r>
        <w:rPr>
          <w:rFonts w:hint="eastAsia" w:asciiTheme="minorEastAsia" w:hAnsiTheme="minorEastAsia" w:eastAsiaTheme="minorEastAsia" w:cstheme="minorEastAsia"/>
          <w:color w:val="auto"/>
        </w:rPr>
        <w:t>m；</w:t>
      </w:r>
    </w:p>
    <w:p>
      <w:pPr>
        <w:pStyle w:val="57"/>
        <w:keepNext w:val="0"/>
        <w:keepLines w:val="0"/>
        <w:pageBreakBefore w:val="0"/>
        <w:widowControl w:val="0"/>
        <w:kinsoku/>
        <w:wordWrap/>
        <w:overflowPunct/>
        <w:topLinePunct w:val="0"/>
        <w:autoSpaceDE/>
        <w:autoSpaceDN/>
        <w:bidi w:val="0"/>
        <w:adjustRightInd/>
        <w:snapToGrid/>
        <w:spacing w:line="540" w:lineRule="exact"/>
        <w:ind w:firstLine="720" w:firstLineChars="3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σ</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层硬岩层的抗拉强度，</w:t>
      </w:r>
      <w:r>
        <w:rPr>
          <w:rFonts w:hint="eastAsia" w:asciiTheme="minorEastAsia" w:hAnsiTheme="minorEastAsia" w:eastAsiaTheme="minorEastAsia" w:cstheme="minorEastAsia"/>
          <w:color w:val="auto"/>
          <w:lang w:val="en-US" w:eastAsia="zh-CN"/>
        </w:rPr>
        <w:t>单位：</w:t>
      </w:r>
      <w:r>
        <w:rPr>
          <w:rFonts w:hint="eastAsia" w:asciiTheme="minorEastAsia" w:hAnsiTheme="minorEastAsia" w:eastAsiaTheme="minorEastAsia" w:cstheme="minorEastAsia"/>
          <w:color w:val="auto"/>
        </w:rPr>
        <w:t>MPa；</w:t>
      </w:r>
    </w:p>
    <w:p>
      <w:pPr>
        <w:pStyle w:val="57"/>
        <w:keepNext w:val="0"/>
        <w:keepLines w:val="0"/>
        <w:pageBreakBefore w:val="0"/>
        <w:widowControl w:val="0"/>
        <w:kinsoku/>
        <w:wordWrap/>
        <w:overflowPunct/>
        <w:topLinePunct w:val="0"/>
        <w:autoSpaceDE/>
        <w:autoSpaceDN/>
        <w:bidi w:val="0"/>
        <w:adjustRightInd/>
        <w:snapToGrid/>
        <w:spacing w:line="540" w:lineRule="exact"/>
        <w:ind w:firstLine="720" w:firstLineChars="3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q</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层硬岩层承受的载荷，</w:t>
      </w:r>
      <w:r>
        <w:rPr>
          <w:rFonts w:hint="eastAsia" w:asciiTheme="minorEastAsia" w:hAnsiTheme="minorEastAsia" w:eastAsiaTheme="minorEastAsia" w:cstheme="minorEastAsia"/>
          <w:color w:val="auto"/>
          <w:lang w:val="en-US" w:eastAsia="zh-CN"/>
        </w:rPr>
        <w:t>单位：</w:t>
      </w:r>
      <w:r>
        <w:rPr>
          <w:rFonts w:hint="eastAsia" w:asciiTheme="minorEastAsia" w:hAnsiTheme="minorEastAsia" w:eastAsiaTheme="minorEastAsia" w:cstheme="minorEastAsia"/>
          <w:color w:val="auto"/>
        </w:rPr>
        <w:t>MPa。</w:t>
      </w:r>
    </w:p>
    <w:p>
      <w:pPr>
        <w:pStyle w:val="57"/>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由</w:t>
      </w:r>
      <w:r>
        <w:rPr>
          <w:rFonts w:hint="eastAsia" w:asciiTheme="minorEastAsia" w:hAnsiTheme="minorEastAsia" w:eastAsiaTheme="minorEastAsia" w:cstheme="minorEastAsia"/>
          <w:color w:val="auto"/>
          <w:lang w:val="en-US" w:eastAsia="zh-CN"/>
        </w:rPr>
        <w:t>上式</w:t>
      </w:r>
      <w:r>
        <w:rPr>
          <w:rFonts w:hint="eastAsia" w:asciiTheme="minorEastAsia" w:hAnsiTheme="minorEastAsia" w:eastAsiaTheme="minorEastAsia" w:cstheme="minorEastAsia"/>
          <w:color w:val="auto"/>
        </w:rPr>
        <w:t>可知，</w:t>
      </w:r>
      <w:r>
        <w:rPr>
          <w:rFonts w:hint="eastAsia" w:asciiTheme="minorEastAsia" w:hAnsiTheme="minorEastAsia" w:eastAsiaTheme="minorEastAsia" w:cstheme="minorEastAsia"/>
          <w:color w:val="auto"/>
          <w:lang w:val="en-US" w:eastAsia="zh-CN"/>
        </w:rPr>
        <w:t>q</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rPr>
        <w:t>可按下式确定：</w:t>
      </w:r>
    </w:p>
    <w:p>
      <w:pPr>
        <w:widowControl/>
        <w:spacing w:line="360" w:lineRule="auto"/>
        <w:ind w:firstLine="0" w:firstLineChars="0"/>
        <w:jc w:val="center"/>
        <w:rPr>
          <w:rFonts w:hint="eastAsia" w:asciiTheme="minorEastAsia" w:hAnsiTheme="minorEastAsia" w:eastAsiaTheme="minorEastAsia" w:cstheme="minorEastAsia"/>
          <w:b w:val="0"/>
          <w:color w:val="auto"/>
          <w:kern w:val="2"/>
          <w:sz w:val="24"/>
          <w:szCs w:val="22"/>
          <w:lang w:val="en-US" w:eastAsia="zh-CN" w:bidi="ar-SA"/>
          <w14:ligatures w14:val="standardContextual"/>
        </w:rPr>
      </w:pPr>
      <w:bookmarkStart w:id="101" w:name="OLE_LINK8"/>
      <w:bookmarkEnd w:id="101"/>
      <w:bookmarkStart w:id="102" w:name="OLE_LINK11"/>
      <w:bookmarkEnd w:id="102"/>
      <w:r>
        <w:rPr>
          <w:rFonts w:hint="eastAsia" w:asciiTheme="minorEastAsia" w:hAnsiTheme="minorEastAsia" w:eastAsiaTheme="minorEastAsia" w:cstheme="minorEastAsia"/>
          <w:b w:val="0"/>
          <w:color w:val="auto"/>
          <w:kern w:val="2"/>
          <w:position w:val="-60"/>
          <w:sz w:val="24"/>
          <w:szCs w:val="22"/>
          <w:lang w:val="en-US" w:eastAsia="zh-CN" w:bidi="ar-SA"/>
          <w14:ligatures w14:val="standardContextual"/>
        </w:rPr>
        <w:object>
          <v:shape id="_x0000_i1027" o:spt="75" type="#_x0000_t75" style="height:65pt;width:175.95pt;" o:ole="t" filled="f" o:preferrelative="t" stroked="f" coordsize="21600,21600">
            <v:path/>
            <v:fill on="f" focussize="0,0"/>
            <v:stroke on="f" joinstyle="miter"/>
            <v:imagedata r:id="rId26" o:title=""/>
            <o:lock v:ext="edit" aspectratio="t"/>
            <w10:wrap type="none"/>
            <w10:anchorlock/>
          </v:shape>
          <o:OLEObject Type="Embed" ProgID="Equation.DSMT4" ShapeID="_x0000_i1027" DrawAspect="Content" ObjectID="_1468075727" r:id="rId25">
            <o:LockedField>false</o:LockedField>
          </o:OLEObject>
        </w:object>
      </w:r>
    </w:p>
    <w:p>
      <w:pPr>
        <w:pStyle w:val="57"/>
        <w:bidi w:val="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最上一层硬岩层即第n层硬岩层上的载荷可按下式计算：</w:t>
      </w:r>
    </w:p>
    <w:p>
      <w:pPr>
        <w:widowControl/>
        <w:spacing w:line="360" w:lineRule="auto"/>
        <w:ind w:firstLine="0" w:firstLineChars="0"/>
        <w:jc w:val="center"/>
        <w:rPr>
          <w:rFonts w:hint="eastAsia" w:asciiTheme="minorEastAsia" w:hAnsiTheme="minorEastAsia" w:eastAsiaTheme="minorEastAsia" w:cstheme="minorEastAsia"/>
          <w:b w:val="0"/>
          <w:color w:val="auto"/>
          <w:kern w:val="2"/>
          <w:sz w:val="24"/>
          <w:szCs w:val="22"/>
          <w:lang w:val="en-US" w:eastAsia="zh-CN" w:bidi="ar-SA"/>
          <w14:ligatures w14:val="standardContextual"/>
        </w:rPr>
      </w:pPr>
      <w:r>
        <w:rPr>
          <w:rFonts w:hint="eastAsia" w:asciiTheme="minorEastAsia" w:hAnsiTheme="minorEastAsia" w:eastAsiaTheme="minorEastAsia" w:cstheme="minorEastAsia"/>
          <w:b w:val="0"/>
          <w:color w:val="auto"/>
          <w:kern w:val="2"/>
          <w:position w:val="-60"/>
          <w:sz w:val="24"/>
          <w:szCs w:val="22"/>
          <w:lang w:val="en-US" w:eastAsia="zh-CN" w:bidi="ar-SA"/>
          <w14:ligatures w14:val="standardContextual"/>
        </w:rPr>
        <w:object>
          <v:shape id="_x0000_i1028" o:spt="75" type="#_x0000_t75" style="height:65pt;width:101pt;" o:ole="t" filled="f" o:preferrelative="t" stroked="f" coordsize="21600,21600">
            <v:path/>
            <v:fill on="f" focussize="0,0"/>
            <v:stroke on="f" joinstyle="miter"/>
            <v:imagedata r:id="rId28" o:title=""/>
            <o:lock v:ext="edit" aspectratio="t"/>
            <w10:wrap type="none"/>
            <w10:anchorlock/>
          </v:shape>
          <o:OLEObject Type="Embed" ProgID="Equation.DSMT4" ShapeID="_x0000_i1028" DrawAspect="Content" ObjectID="_1468075728" r:id="rId27">
            <o:LockedField>false</o:LockedField>
          </o:OLEObject>
        </w:object>
      </w:r>
      <w:r>
        <w:rPr>
          <w:rFonts w:hint="eastAsia" w:asciiTheme="minorEastAsia" w:hAnsiTheme="minorEastAsia" w:eastAsiaTheme="minorEastAsia" w:cstheme="minorEastAsia"/>
          <w:b w:val="0"/>
          <w:color w:val="auto"/>
          <w:kern w:val="2"/>
          <w:position w:val="-4"/>
          <w:sz w:val="24"/>
          <w:szCs w:val="22"/>
          <w:lang w:val="en-US" w:eastAsia="zh-CN" w:bidi="ar-SA"/>
          <w14:ligatures w14:val="standardContextual"/>
        </w:rPr>
        <w:object>
          <v:shape id="_x0000_i1029" o:spt="75" type="#_x0000_t75" style="height:13pt;width:9pt;" o:ole="t" filled="f" o:preferrelative="t" stroked="f" coordsize="21600,21600">
            <v:path/>
            <v:fill on="f" focussize="0,0"/>
            <v:stroke on="f" joinstyle="miter"/>
            <v:imagedata r:id="rId30" o:title=""/>
            <o:lock v:ext="edit" aspectratio="t"/>
            <w10:wrap type="none"/>
            <w10:anchorlock/>
          </v:shape>
          <o:OLEObject Type="Embed" ProgID="Equation.DSMT4" ShapeID="_x0000_i1029" DrawAspect="Content" ObjectID="_1468075729" r:id="rId29">
            <o:LockedField>false</o:LockedField>
          </o:OLEObject>
        </w:object>
      </w:r>
    </w:p>
    <w:p>
      <w:pPr>
        <w:pStyle w:val="57"/>
        <w:bidi w:val="0"/>
        <w:ind w:left="0" w:leftChars="0" w:firstLine="0" w:firstLineChars="0"/>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式中  E</w:t>
      </w:r>
      <w:r>
        <w:rPr>
          <w:rFonts w:hint="eastAsia" w:asciiTheme="minorEastAsia" w:hAnsiTheme="minorEastAsia" w:eastAsiaTheme="minorEastAsia" w:cstheme="minorEastAsia"/>
          <w:color w:val="auto"/>
          <w:vertAlign w:val="subscript"/>
          <w:lang w:val="en-US" w:eastAsia="zh-CN"/>
        </w:rPr>
        <w:t>k,j</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下标</w:t>
      </w:r>
      <w:r>
        <w:rPr>
          <w:rFonts w:hint="eastAsia" w:asciiTheme="minorEastAsia" w:hAnsiTheme="minorEastAsia" w:eastAsiaTheme="minorEastAsia" w:cstheme="minorEastAsia"/>
          <w:color w:val="auto"/>
          <w:lang w:val="en-US" w:eastAsia="zh-CN"/>
        </w:rPr>
        <w:t>k表示</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下标</w:t>
      </w:r>
      <w:r>
        <w:rPr>
          <w:rFonts w:hint="eastAsia" w:asciiTheme="minorEastAsia" w:hAnsiTheme="minorEastAsia" w:eastAsiaTheme="minorEastAsia" w:cstheme="minorEastAsia"/>
          <w:color w:val="auto"/>
          <w:lang w:val="en-US" w:eastAsia="zh-CN"/>
        </w:rPr>
        <w:t>j表示</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j</w:t>
      </w:r>
      <w:r>
        <w:rPr>
          <w:rFonts w:hint="eastAsia" w:asciiTheme="minorEastAsia" w:hAnsiTheme="minorEastAsia" w:eastAsiaTheme="minorEastAsia" w:cstheme="minorEastAsia"/>
          <w:color w:val="auto"/>
        </w:rPr>
        <w:t>层硬岩层所控软岩层组的分层号；</w:t>
      </w:r>
    </w:p>
    <w:p>
      <w:pPr>
        <w:pStyle w:val="57"/>
        <w:bidi w:val="0"/>
        <w:ind w:firstLine="720" w:firstLineChars="300"/>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m</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层硬岩层所控软岩层的层数；</w:t>
      </w:r>
      <w:bookmarkStart w:id="103" w:name="OLE_LINK13"/>
      <w:bookmarkEnd w:id="103"/>
    </w:p>
    <w:p>
      <w:pPr>
        <w:pStyle w:val="57"/>
        <w:bidi w:val="0"/>
        <w:ind w:firstLine="720" w:firstLineChars="300"/>
        <w:rPr>
          <w:rFonts w:hint="eastAsia" w:ascii="宋体" w:hAnsi="宋体" w:eastAsia="宋体" w:cs="宋体"/>
          <w:color w:val="auto"/>
          <w:lang w:eastAsia="zh-CN"/>
        </w:rPr>
      </w:pPr>
      <w:r>
        <w:rPr>
          <w:rFonts w:hint="eastAsia" w:asciiTheme="minorEastAsia" w:hAnsiTheme="minorEastAsia" w:eastAsiaTheme="minorEastAsia" w:cstheme="minorEastAsia"/>
          <w:color w:val="auto"/>
          <w:lang w:val="en-US" w:eastAsia="zh-CN"/>
        </w:rPr>
        <w:t>E</w:t>
      </w:r>
      <w:r>
        <w:rPr>
          <w:rFonts w:hint="eastAsia" w:asciiTheme="minorEastAsia" w:hAnsiTheme="minorEastAsia" w:eastAsiaTheme="minorEastAsia" w:cstheme="minorEastAsia"/>
          <w:color w:val="auto"/>
          <w:vertAlign w:val="subscript"/>
          <w:lang w:val="en-US" w:eastAsia="zh-CN"/>
        </w:rPr>
        <w:t>k,j</w:t>
      </w:r>
      <w:r>
        <w:rPr>
          <w:rFonts w:hint="eastAsia" w:asciiTheme="minorEastAsia" w:hAnsiTheme="minorEastAsia" w:eastAsiaTheme="minorEastAsia" w:cstheme="minorEastAsia"/>
          <w:color w:val="auto"/>
        </w:rPr>
        <w:t>，</w:t>
      </w:r>
      <w:bookmarkStart w:id="104" w:name="OLE_LINK12"/>
      <w:bookmarkEnd w:id="104"/>
      <w:r>
        <w:rPr>
          <w:rFonts w:hint="eastAsia" w:asciiTheme="minorEastAsia" w:hAnsiTheme="minorEastAsia" w:eastAsiaTheme="minorEastAsia" w:cstheme="minorEastAsia"/>
          <w:color w:val="auto"/>
          <w:lang w:val="en-US" w:eastAsia="zh-CN"/>
        </w:rPr>
        <w:t>h</w:t>
      </w:r>
      <w:r>
        <w:rPr>
          <w:rFonts w:hint="eastAsia" w:asciiTheme="minorEastAsia" w:hAnsiTheme="minorEastAsia" w:eastAsiaTheme="minorEastAsia" w:cstheme="minorEastAsia"/>
          <w:color w:val="auto"/>
          <w:vertAlign w:val="subscript"/>
          <w:lang w:val="en-US" w:eastAsia="zh-CN"/>
        </w:rPr>
        <w:t>k,j</w:t>
      </w:r>
      <w:r>
        <w:rPr>
          <w:rFonts w:hint="eastAsia" w:asciiTheme="minorEastAsia" w:hAnsiTheme="minorEastAsia" w:eastAsiaTheme="minorEastAsia" w:cstheme="minorEastAsia"/>
          <w:color w:val="auto"/>
        </w:rPr>
        <w:t>，γ</w:t>
      </w:r>
      <w:r>
        <w:rPr>
          <w:rFonts w:hint="eastAsia" w:asciiTheme="minorEastAsia" w:hAnsiTheme="minorEastAsia" w:eastAsiaTheme="minorEastAsia" w:cstheme="minorEastAsia"/>
          <w:color w:val="auto"/>
          <w:vertAlign w:val="subscript"/>
          <w:lang w:val="en-US" w:eastAsia="zh-CN"/>
        </w:rPr>
        <w:t>k,j</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层硬岩层所控软岩层组中第</w:t>
      </w:r>
      <w:r>
        <w:rPr>
          <w:rFonts w:hint="eastAsia" w:asciiTheme="minorEastAsia" w:hAnsiTheme="minorEastAsia" w:eastAsiaTheme="minorEastAsia" w:cstheme="minorEastAsia"/>
          <w:color w:val="auto"/>
          <w:lang w:val="en-US" w:eastAsia="zh-CN"/>
        </w:rPr>
        <w:t>j</w:t>
      </w:r>
      <w:r>
        <w:rPr>
          <w:rFonts w:hint="eastAsia" w:asciiTheme="minorEastAsia" w:hAnsiTheme="minorEastAsia" w:eastAsiaTheme="minorEastAsia" w:cstheme="minorEastAsia"/>
          <w:color w:val="auto"/>
        </w:rPr>
        <w:t>层岩层弹性模量、分层厚度及容重，单位分别为GPa，m，MN/m</w:t>
      </w:r>
      <w:r>
        <w:rPr>
          <w:rFonts w:hint="eastAsia" w:asciiTheme="minorEastAsia" w:hAnsiTheme="minorEastAsia" w:eastAsiaTheme="minorEastAsia" w:cstheme="minorEastAsia"/>
          <w:color w:val="auto"/>
          <w:vertAlign w:val="superscript"/>
        </w:rPr>
        <w:t>3</w:t>
      </w:r>
      <w:r>
        <w:rPr>
          <w:rFonts w:hint="eastAsia" w:asciiTheme="minorEastAsia" w:hAnsiTheme="minorEastAsia" w:eastAsiaTheme="minorEastAsia" w:cstheme="minorEastAsia"/>
          <w:color w:val="auto"/>
        </w:rPr>
        <w:t>。当</w:t>
      </w:r>
      <w:r>
        <w:rPr>
          <w:rFonts w:hint="eastAsia" w:asciiTheme="minorEastAsia" w:hAnsiTheme="minorEastAsia" w:eastAsiaTheme="minorEastAsia" w:cstheme="minorEastAsia"/>
          <w:color w:val="auto"/>
          <w:lang w:val="en-US" w:eastAsia="zh-CN"/>
        </w:rPr>
        <w:t>j=0</w:t>
      </w:r>
      <w:r>
        <w:rPr>
          <w:rFonts w:hint="eastAsia" w:asciiTheme="minorEastAsia" w:hAnsiTheme="minorEastAsia" w:eastAsiaTheme="minorEastAsia" w:cstheme="minorEastAsia"/>
          <w:color w:val="auto"/>
        </w:rPr>
        <w:t>时，</w:t>
      </w:r>
      <w:r>
        <w:rPr>
          <w:rFonts w:hint="eastAsia" w:asciiTheme="minorEastAsia" w:hAnsiTheme="minorEastAsia" w:eastAsiaTheme="minorEastAsia" w:cstheme="minorEastAsia"/>
          <w:color w:val="auto"/>
          <w:lang w:val="en-US" w:eastAsia="zh-CN"/>
        </w:rPr>
        <w:t>为</w:t>
      </w:r>
      <w:r>
        <w:rPr>
          <w:rFonts w:hint="eastAsia" w:asciiTheme="minorEastAsia" w:hAnsiTheme="minorEastAsia" w:eastAsiaTheme="minorEastAsia" w:cstheme="minorEastAsia"/>
          <w:color w:val="auto"/>
        </w:rPr>
        <w:t>硬岩层的力学参数。例如</w:t>
      </w:r>
      <w:r>
        <w:rPr>
          <w:rFonts w:hint="eastAsia" w:asciiTheme="minorEastAsia" w:hAnsiTheme="minorEastAsia" w:eastAsiaTheme="minorEastAsia" w:cstheme="minorEastAsia"/>
          <w:color w:val="auto"/>
          <w:lang w:val="en-US" w:eastAsia="zh-CN"/>
        </w:rPr>
        <w:t>E</w:t>
      </w:r>
      <w:r>
        <w:rPr>
          <w:rFonts w:hint="eastAsia" w:asciiTheme="minorEastAsia" w:hAnsiTheme="minorEastAsia" w:eastAsiaTheme="minorEastAsia" w:cstheme="minorEastAsia"/>
          <w:color w:val="auto"/>
          <w:vertAlign w:val="subscript"/>
          <w:lang w:val="en-US" w:eastAsia="zh-CN"/>
        </w:rPr>
        <w:t>1,0</w:t>
      </w:r>
      <w:r>
        <w:rPr>
          <w:rFonts w:hint="eastAsia" w:asciiTheme="minorEastAsia" w:hAnsiTheme="minorEastAsia" w:eastAsiaTheme="minorEastAsia" w:cstheme="minorEastAsia"/>
          <w:color w:val="auto"/>
        </w:rPr>
        <w:t>，</w:t>
      </w:r>
      <w:r>
        <w:rPr>
          <w:rFonts w:hint="eastAsia" w:asciiTheme="minorEastAsia" w:hAnsiTheme="minorEastAsia" w:eastAsiaTheme="minorEastAsia" w:cstheme="minorEastAsia"/>
          <w:color w:val="auto"/>
          <w:lang w:val="en-US" w:eastAsia="zh-CN"/>
        </w:rPr>
        <w:t>h</w:t>
      </w:r>
      <w:r>
        <w:rPr>
          <w:rFonts w:hint="eastAsia" w:asciiTheme="minorEastAsia" w:hAnsiTheme="minorEastAsia" w:eastAsiaTheme="minorEastAsia" w:cstheme="minorEastAsia"/>
          <w:color w:val="auto"/>
          <w:vertAlign w:val="subscript"/>
          <w:lang w:val="en-US" w:eastAsia="zh-CN"/>
        </w:rPr>
        <w:t>1,0</w:t>
      </w:r>
      <w:r>
        <w:rPr>
          <w:rFonts w:hint="eastAsia" w:asciiTheme="minorEastAsia" w:hAnsiTheme="minorEastAsia" w:eastAsiaTheme="minorEastAsia" w:cstheme="minorEastAsia"/>
          <w:color w:val="auto"/>
        </w:rPr>
        <w:t>，γ</w:t>
      </w:r>
      <w:r>
        <w:rPr>
          <w:rFonts w:hint="eastAsia" w:asciiTheme="minorEastAsia" w:hAnsiTheme="minorEastAsia" w:eastAsiaTheme="minorEastAsia" w:cstheme="minorEastAsia"/>
          <w:color w:val="auto"/>
          <w:vertAlign w:val="subscript"/>
          <w:lang w:val="en-US" w:eastAsia="zh-CN"/>
        </w:rPr>
        <w:t>1,0</w:t>
      </w:r>
      <w:r>
        <w:rPr>
          <w:rFonts w:hint="eastAsia" w:ascii="宋体" w:hAnsi="宋体" w:eastAsia="宋体" w:cs="宋体"/>
          <w:color w:val="auto"/>
        </w:rPr>
        <w:t>分别为第1层硬岩层的弹性模量、厚度及容重</w:t>
      </w:r>
      <w:r>
        <w:rPr>
          <w:rFonts w:hint="eastAsia" w:ascii="宋体" w:hAnsi="宋体" w:eastAsia="宋体" w:cs="宋体"/>
          <w:color w:val="auto"/>
          <w:lang w:eastAsia="zh-CN"/>
        </w:rPr>
        <w:t>；</w:t>
      </w:r>
    </w:p>
    <w:p>
      <w:pPr>
        <w:pStyle w:val="57"/>
        <w:bidi w:val="0"/>
        <w:ind w:firstLine="720" w:firstLineChars="300"/>
        <w:rPr>
          <w:rFonts w:hint="eastAsia" w:ascii="宋体" w:hAnsi="宋体" w:eastAsia="宋体" w:cs="宋体"/>
          <w:color w:val="auto"/>
        </w:rPr>
      </w:pPr>
      <w:r>
        <w:rPr>
          <w:rFonts w:hint="eastAsia" w:ascii="宋体" w:hAnsi="宋体" w:eastAsia="宋体" w:cs="宋体"/>
          <w:color w:val="auto"/>
          <w:lang w:val="en-US" w:eastAsia="zh-CN"/>
        </w:rPr>
        <w:t>E</w:t>
      </w:r>
      <w:r>
        <w:rPr>
          <w:rFonts w:hint="eastAsia" w:ascii="宋体" w:hAnsi="宋体" w:eastAsia="宋体" w:cs="宋体"/>
          <w:color w:val="auto"/>
          <w:vertAlign w:val="subscript"/>
          <w:lang w:val="en-US" w:eastAsia="zh-CN"/>
        </w:rPr>
        <w:t>1,1</w:t>
      </w:r>
      <w:r>
        <w:rPr>
          <w:rFonts w:hint="eastAsia" w:ascii="宋体" w:hAnsi="宋体" w:eastAsia="宋体" w:cs="宋体"/>
          <w:color w:val="auto"/>
        </w:rPr>
        <w:t>，</w:t>
      </w:r>
      <w:r>
        <w:rPr>
          <w:rFonts w:hint="eastAsia" w:ascii="宋体" w:hAnsi="宋体" w:eastAsia="宋体" w:cs="宋体"/>
          <w:color w:val="auto"/>
          <w:lang w:val="en-US" w:eastAsia="zh-CN"/>
        </w:rPr>
        <w:t>h</w:t>
      </w:r>
      <w:r>
        <w:rPr>
          <w:rFonts w:hint="eastAsia" w:ascii="宋体" w:hAnsi="宋体" w:eastAsia="宋体" w:cs="宋体"/>
          <w:color w:val="auto"/>
          <w:vertAlign w:val="subscript"/>
          <w:lang w:val="en-US" w:eastAsia="zh-CN"/>
        </w:rPr>
        <w:t>1,1</w:t>
      </w:r>
      <w:r>
        <w:rPr>
          <w:rFonts w:hint="eastAsia" w:ascii="宋体" w:hAnsi="宋体" w:eastAsia="宋体" w:cs="宋体"/>
          <w:color w:val="auto"/>
        </w:rPr>
        <w:t>，γ</w:t>
      </w:r>
      <w:r>
        <w:rPr>
          <w:rFonts w:hint="eastAsia" w:ascii="宋体" w:hAnsi="宋体" w:eastAsia="宋体" w:cs="宋体"/>
          <w:color w:val="auto"/>
          <w:vertAlign w:val="subscript"/>
          <w:lang w:val="en-US" w:eastAsia="zh-CN"/>
        </w:rPr>
        <w:t>1,1</w:t>
      </w:r>
      <w:r>
        <w:rPr>
          <w:rFonts w:hint="eastAsia" w:ascii="宋体" w:hAnsi="宋体" w:eastAsia="宋体" w:cs="宋体"/>
          <w:color w:val="auto"/>
          <w:lang w:eastAsia="zh-CN"/>
        </w:rPr>
        <w:t>—</w:t>
      </w:r>
      <w:r>
        <w:rPr>
          <w:rFonts w:hint="eastAsia" w:ascii="宋体" w:hAnsi="宋体" w:eastAsia="宋体" w:cs="宋体"/>
          <w:color w:val="auto"/>
        </w:rPr>
        <w:t>第1层硬岩层所控软层组中第1层软岩的弹性模量、厚度及容重。</w:t>
      </w: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4.矿压主控关键层判别</w:t>
      </w: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顶板断裂时极易对支架形成动载冲击，产生支架压死、立柱压爆甚至沿煤壁切顶的现象。加之在深部“三高强扰动”的复杂地质环境及多层坚硬顶板赋存的条件下，采场矿压显现势必更加强烈，易产生强矿压动载显现</w:t>
      </w:r>
      <w:r>
        <w:rPr>
          <w:rFonts w:hint="eastAsia" w:cs="宋体"/>
          <w:color w:val="auto"/>
          <w:lang w:val="en-US" w:eastAsia="zh-CN"/>
        </w:rPr>
        <w:t>。</w:t>
      </w: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auto"/>
        </w:rPr>
      </w:pPr>
      <w:r>
        <w:rPr>
          <w:rFonts w:hint="eastAsia" w:ascii="宋体" w:hAnsi="宋体" w:eastAsia="宋体" w:cs="宋体"/>
          <w:color w:val="auto"/>
        </w:rPr>
        <w:t>将急倾斜煤层覆岩初次破断简化为两端固支的固定梁模型，周期破断简化为上端固支的悬臂梁模型，由梁理论可知，急倾斜煤层覆岩沿倾向初次破断及周期破断步距为：</w:t>
      </w:r>
    </w:p>
    <w:p>
      <w:pPr>
        <w:spacing w:line="360" w:lineRule="auto"/>
        <w:ind w:firstLine="480" w:firstLineChars="200"/>
        <w:jc w:val="center"/>
        <w:textAlignment w:val="center"/>
        <w:rPr>
          <w:rFonts w:hint="eastAsia" w:asciiTheme="minorEastAsia" w:hAnsiTheme="minorEastAsia" w:eastAsiaTheme="minorEastAsia" w:cstheme="minorEastAsia"/>
          <w:color w:val="auto"/>
          <w:sz w:val="24"/>
          <w:szCs w:val="21"/>
          <w14:ligatures w14:val="standardContextual"/>
        </w:rPr>
      </w:pPr>
      <w:r>
        <w:rPr>
          <w:rFonts w:hint="eastAsia" w:asciiTheme="minorEastAsia" w:hAnsiTheme="minorEastAsia" w:eastAsiaTheme="minorEastAsia" w:cstheme="minorEastAsia"/>
          <w:color w:val="auto"/>
          <w:sz w:val="24"/>
          <w:szCs w:val="22"/>
          <w14:ligatures w14:val="standardContextual"/>
        </w:rPr>
        <w:object>
          <v:shape id="_x0000_i1030" o:spt="75" type="#_x0000_t75" style="height:77.55pt;width:69.8pt;" o:ole="t" filled="f" o:preferrelative="t" stroked="f" coordsize="21600,21600">
            <v:path/>
            <v:fill on="f" focussize="0,0"/>
            <v:stroke on="f" joinstyle="miter"/>
            <v:imagedata r:id="rId32" o:title=""/>
            <o:lock v:ext="edit" aspectratio="t"/>
            <w10:wrap type="none"/>
            <w10:anchorlock/>
          </v:shape>
          <o:OLEObject Type="Embed" ProgID="Equation.DSMT4" ShapeID="_x0000_i1030" DrawAspect="Content" ObjectID="_1468075730" r:id="rId31">
            <o:LockedField>false</o:LockedField>
          </o:OLEObject>
        </w:object>
      </w:r>
    </w:p>
    <w:p>
      <w:pPr>
        <w:pStyle w:val="57"/>
        <w:keepNext w:val="0"/>
        <w:keepLines w:val="0"/>
        <w:pageBreakBefore w:val="0"/>
        <w:widowControl w:val="0"/>
        <w:kinsoku/>
        <w:wordWrap/>
        <w:overflowPunct/>
        <w:topLinePunct w:val="0"/>
        <w:autoSpaceDE/>
        <w:autoSpaceDN/>
        <w:bidi w:val="0"/>
        <w:adjustRightInd/>
        <w:snapToGrid/>
        <w:spacing w:line="520" w:lineRule="exact"/>
        <w:ind w:left="0" w:leftChars="0" w:firstLine="0" w:firstLineChars="0"/>
        <w:textAlignment w:val="auto"/>
        <w:rPr>
          <w:rFonts w:hint="eastAsia" w:ascii="宋体" w:hAnsi="宋体" w:eastAsia="宋体" w:cs="宋体"/>
          <w:color w:val="auto"/>
        </w:rPr>
      </w:pPr>
      <w:r>
        <w:rPr>
          <w:rFonts w:hint="eastAsia" w:ascii="宋体" w:hAnsi="宋体" w:eastAsia="宋体" w:cs="宋体"/>
          <w:color w:val="auto"/>
        </w:rPr>
        <w:t>式中</w:t>
      </w:r>
      <w:r>
        <w:rPr>
          <w:rFonts w:hint="eastAsia" w:cs="宋体"/>
          <w:color w:val="auto"/>
          <w:lang w:val="en-US" w:eastAsia="zh-CN"/>
        </w:rPr>
        <w:t xml:space="preserve">  </w:t>
      </w:r>
      <w:r>
        <w:rPr>
          <w:rFonts w:hint="eastAsia" w:ascii="宋体" w:hAnsi="宋体" w:eastAsia="宋体" w:cs="宋体"/>
          <w:color w:val="auto"/>
          <w:lang w:val="en-US" w:eastAsia="zh-CN"/>
        </w:rPr>
        <w:t>h</w:t>
      </w:r>
      <w:r>
        <w:rPr>
          <w:rFonts w:hint="eastAsia" w:ascii="宋体" w:hAnsi="宋体" w:eastAsia="宋体" w:cs="宋体"/>
          <w:color w:val="auto"/>
          <w:lang w:eastAsia="zh-CN"/>
        </w:rPr>
        <w:t>—</w:t>
      </w:r>
      <w:r>
        <w:rPr>
          <w:rFonts w:hint="eastAsia" w:ascii="宋体" w:hAnsi="宋体" w:eastAsia="宋体" w:cs="宋体"/>
          <w:color w:val="auto"/>
        </w:rPr>
        <w:t>硬岩层厚度，</w:t>
      </w:r>
      <w:r>
        <w:rPr>
          <w:rFonts w:hint="eastAsia" w:ascii="宋体" w:hAnsi="宋体" w:eastAsia="宋体" w:cs="宋体"/>
          <w:color w:val="auto"/>
          <w:lang w:val="en-US" w:eastAsia="zh-CN"/>
        </w:rPr>
        <w:t>单位：</w:t>
      </w:r>
      <w:r>
        <w:rPr>
          <w:rFonts w:hint="eastAsia" w:ascii="宋体" w:hAnsi="宋体" w:eastAsia="宋体" w:cs="宋体"/>
          <w:color w:val="auto"/>
        </w:rPr>
        <w:t>m；</w:t>
      </w:r>
    </w:p>
    <w:p>
      <w:pPr>
        <w:pStyle w:val="57"/>
        <w:keepNext w:val="0"/>
        <w:keepLines w:val="0"/>
        <w:pageBreakBefore w:val="0"/>
        <w:widowControl w:val="0"/>
        <w:kinsoku/>
        <w:wordWrap/>
        <w:overflowPunct/>
        <w:topLinePunct w:val="0"/>
        <w:autoSpaceDE/>
        <w:autoSpaceDN/>
        <w:bidi w:val="0"/>
        <w:adjustRightInd/>
        <w:snapToGrid/>
        <w:spacing w:line="520" w:lineRule="exact"/>
        <w:ind w:firstLine="720" w:firstLineChars="300"/>
        <w:textAlignment w:val="auto"/>
        <w:rPr>
          <w:rFonts w:hint="eastAsia" w:ascii="宋体" w:hAnsi="宋体" w:eastAsia="宋体" w:cs="宋体"/>
          <w:color w:val="auto"/>
        </w:rPr>
      </w:pPr>
      <w:r>
        <w:rPr>
          <w:rFonts w:hint="eastAsia" w:ascii="宋体" w:hAnsi="宋体" w:eastAsia="宋体" w:cs="宋体"/>
          <w:color w:val="auto"/>
          <w:lang w:val="en-US" w:eastAsia="zh-CN"/>
        </w:rPr>
        <w:t>R</w:t>
      </w:r>
      <w:r>
        <w:rPr>
          <w:rFonts w:hint="eastAsia" w:ascii="宋体" w:hAnsi="宋体" w:eastAsia="宋体" w:cs="宋体"/>
          <w:color w:val="auto"/>
          <w:vertAlign w:val="subscript"/>
          <w:lang w:val="en-US" w:eastAsia="zh-CN"/>
        </w:rPr>
        <w:t>t</w:t>
      </w:r>
      <w:r>
        <w:rPr>
          <w:rFonts w:hint="eastAsia" w:ascii="宋体" w:hAnsi="宋体" w:eastAsia="宋体" w:cs="宋体"/>
          <w:color w:val="auto"/>
          <w:lang w:eastAsia="zh-CN"/>
        </w:rPr>
        <w:t>—</w:t>
      </w:r>
      <w:r>
        <w:rPr>
          <w:rFonts w:hint="eastAsia" w:ascii="宋体" w:hAnsi="宋体" w:eastAsia="宋体" w:cs="宋体"/>
          <w:color w:val="auto"/>
        </w:rPr>
        <w:t>硬岩层抗拉强度，</w:t>
      </w:r>
      <w:r>
        <w:rPr>
          <w:rFonts w:hint="eastAsia" w:ascii="宋体" w:hAnsi="宋体" w:eastAsia="宋体" w:cs="宋体"/>
          <w:color w:val="auto"/>
          <w:lang w:val="en-US" w:eastAsia="zh-CN"/>
        </w:rPr>
        <w:t>单位：</w:t>
      </w:r>
      <w:r>
        <w:rPr>
          <w:rFonts w:hint="eastAsia" w:ascii="宋体" w:hAnsi="宋体" w:eastAsia="宋体" w:cs="宋体"/>
          <w:color w:val="auto"/>
        </w:rPr>
        <w:t>Pa；</w:t>
      </w:r>
    </w:p>
    <w:p>
      <w:pPr>
        <w:pStyle w:val="57"/>
        <w:keepNext w:val="0"/>
        <w:keepLines w:val="0"/>
        <w:pageBreakBefore w:val="0"/>
        <w:widowControl w:val="0"/>
        <w:kinsoku/>
        <w:wordWrap/>
        <w:overflowPunct/>
        <w:topLinePunct w:val="0"/>
        <w:autoSpaceDE/>
        <w:autoSpaceDN/>
        <w:bidi w:val="0"/>
        <w:adjustRightInd/>
        <w:snapToGrid/>
        <w:spacing w:line="520" w:lineRule="exact"/>
        <w:ind w:firstLine="720" w:firstLineChars="300"/>
        <w:textAlignment w:val="auto"/>
        <w:rPr>
          <w:rFonts w:hint="eastAsia" w:ascii="宋体" w:hAnsi="宋体" w:eastAsia="宋体" w:cs="宋体"/>
          <w:color w:val="auto"/>
        </w:rPr>
      </w:pPr>
      <w:r>
        <w:rPr>
          <w:rFonts w:hint="eastAsia" w:ascii="宋体" w:hAnsi="宋体" w:eastAsia="宋体" w:cs="宋体"/>
          <w:color w:val="auto"/>
          <w:lang w:val="en-US" w:eastAsia="zh-CN"/>
        </w:rPr>
        <w:t>q</w:t>
      </w:r>
      <w:r>
        <w:rPr>
          <w:rFonts w:hint="eastAsia" w:ascii="宋体" w:hAnsi="宋体" w:eastAsia="宋体" w:cs="宋体"/>
          <w:color w:val="auto"/>
          <w:lang w:eastAsia="zh-CN"/>
        </w:rPr>
        <w:t>—</w:t>
      </w:r>
      <w:r>
        <w:rPr>
          <w:rFonts w:hint="eastAsia" w:ascii="宋体" w:hAnsi="宋体" w:eastAsia="宋体" w:cs="宋体"/>
          <w:color w:val="auto"/>
        </w:rPr>
        <w:t>硬岩层承受载荷，</w:t>
      </w:r>
      <w:r>
        <w:rPr>
          <w:rFonts w:hint="eastAsia" w:ascii="宋体" w:hAnsi="宋体" w:eastAsia="宋体" w:cs="宋体"/>
          <w:color w:val="auto"/>
          <w:lang w:val="en-US" w:eastAsia="zh-CN"/>
        </w:rPr>
        <w:t>单位：</w:t>
      </w:r>
      <w:r>
        <w:rPr>
          <w:rFonts w:hint="eastAsia" w:ascii="宋体" w:hAnsi="宋体" w:eastAsia="宋体" w:cs="宋体"/>
          <w:color w:val="auto"/>
        </w:rPr>
        <w:t>Pa；</w:t>
      </w:r>
    </w:p>
    <w:p>
      <w:pPr>
        <w:pStyle w:val="57"/>
        <w:keepNext w:val="0"/>
        <w:keepLines w:val="0"/>
        <w:pageBreakBefore w:val="0"/>
        <w:widowControl w:val="0"/>
        <w:kinsoku/>
        <w:wordWrap/>
        <w:overflowPunct/>
        <w:topLinePunct w:val="0"/>
        <w:autoSpaceDE/>
        <w:autoSpaceDN/>
        <w:bidi w:val="0"/>
        <w:adjustRightInd/>
        <w:snapToGrid/>
        <w:spacing w:line="520" w:lineRule="exact"/>
        <w:ind w:firstLine="720" w:firstLineChars="300"/>
        <w:textAlignment w:val="auto"/>
        <w:rPr>
          <w:rFonts w:hint="eastAsia" w:ascii="宋体" w:hAnsi="宋体" w:eastAsia="宋体" w:cs="宋体"/>
          <w:color w:val="auto"/>
        </w:rPr>
      </w:pPr>
      <w:r>
        <w:rPr>
          <w:rFonts w:hint="eastAsia" w:ascii="宋体" w:hAnsi="宋体" w:eastAsia="宋体" w:cs="宋体"/>
          <w:color w:val="auto"/>
          <w:position w:val="-6"/>
          <w:szCs w:val="22"/>
          <w14:ligatures w14:val="standardContextual"/>
        </w:rPr>
        <w:t>θ</w:t>
      </w:r>
      <w:r>
        <w:rPr>
          <w:rFonts w:hint="eastAsia" w:ascii="宋体" w:hAnsi="宋体" w:eastAsia="宋体" w:cs="宋体"/>
          <w:color w:val="auto"/>
          <w:lang w:eastAsia="zh-CN"/>
        </w:rPr>
        <w:t>—</w:t>
      </w:r>
      <w:r>
        <w:rPr>
          <w:rFonts w:hint="eastAsia" w:ascii="宋体" w:hAnsi="宋体" w:eastAsia="宋体" w:cs="宋体"/>
          <w:color w:val="auto"/>
        </w:rPr>
        <w:t>岩层倾角，</w:t>
      </w:r>
      <w:r>
        <w:rPr>
          <w:rFonts w:hint="eastAsia" w:ascii="宋体" w:hAnsi="宋体" w:eastAsia="宋体" w:cs="宋体"/>
          <w:color w:val="auto"/>
          <w:lang w:val="en-US" w:eastAsia="zh-CN"/>
        </w:rPr>
        <w:t>单位：°</w:t>
      </w:r>
      <w:r>
        <w:rPr>
          <w:rFonts w:hint="eastAsia" w:ascii="宋体" w:hAnsi="宋体" w:eastAsia="宋体" w:cs="宋体"/>
          <w:color w:val="auto"/>
        </w:rPr>
        <w:t>。</w:t>
      </w: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宋体" w:hAnsi="宋体" w:eastAsia="宋体" w:cs="宋体"/>
          <w:color w:val="auto"/>
        </w:rPr>
      </w:pPr>
      <w:r>
        <w:rPr>
          <w:rFonts w:hint="eastAsia" w:ascii="宋体" w:hAnsi="宋体" w:eastAsia="宋体" w:cs="宋体"/>
          <w:color w:val="auto"/>
        </w:rPr>
        <w:t>急倾斜煤层硬岩层在载荷作用下弯曲变形，弯矩做功产生弯曲变形能，各硬岩层积聚能量W为：</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s="Times New Roman"/>
          <w:color w:val="auto"/>
          <w:sz w:val="24"/>
          <w:szCs w:val="21"/>
          <w14:ligatures w14:val="standardContextual"/>
        </w:rPr>
      </w:pPr>
      <w:r>
        <w:rPr>
          <w:rFonts w:hint="eastAsia" w:asciiTheme="minorEastAsia" w:hAnsiTheme="minorEastAsia" w:eastAsiaTheme="minorEastAsia" w:cstheme="minorEastAsia"/>
          <w:color w:val="auto"/>
          <w:position w:val="-22"/>
          <w:sz w:val="24"/>
          <w:szCs w:val="22"/>
          <w14:ligatures w14:val="standardContextual"/>
        </w:rPr>
        <w:object>
          <v:shape id="_x0000_i1031" o:spt="75" type="#_x0000_t75" style="height:36.5pt;width:63.25pt;" o:ole="t" filled="f" o:preferrelative="t" stroked="f" coordsize="21600,21600">
            <v:path/>
            <v:fill on="f" focussize="0,0"/>
            <v:stroke on="f"/>
            <v:imagedata r:id="rId34" o:title=""/>
            <o:lock v:ext="edit" aspectratio="t"/>
            <w10:wrap type="none"/>
            <w10:anchorlock/>
          </v:shape>
          <o:OLEObject Type="Embed" ProgID="Equation.DSMT4" ShapeID="_x0000_i1031" DrawAspect="Content" ObjectID="_1468075731" r:id="rId33">
            <o:LockedField>false</o:LockedField>
          </o:OLEObject>
        </w:object>
      </w:r>
    </w:p>
    <w:p>
      <w:pPr>
        <w:pStyle w:val="57"/>
        <w:keepNext w:val="0"/>
        <w:keepLines w:val="0"/>
        <w:pageBreakBefore w:val="0"/>
        <w:widowControl w:val="0"/>
        <w:kinsoku/>
        <w:wordWrap/>
        <w:overflowPunct/>
        <w:topLinePunct w:val="0"/>
        <w:autoSpaceDE/>
        <w:autoSpaceDN/>
        <w:bidi w:val="0"/>
        <w:adjustRightInd/>
        <w:snapToGrid/>
        <w:spacing w:line="540" w:lineRule="exact"/>
        <w:ind w:left="0" w:leftChars="0" w:firstLine="0" w:firstLineChars="0"/>
        <w:textAlignment w:val="auto"/>
        <w:rPr>
          <w:rFonts w:hint="eastAsia" w:ascii="宋体" w:hAnsi="宋体" w:eastAsia="宋体" w:cs="宋体"/>
          <w:color w:val="auto"/>
        </w:rPr>
      </w:pPr>
      <w:r>
        <w:rPr>
          <w:rFonts w:hint="eastAsia" w:ascii="宋体" w:hAnsi="宋体" w:eastAsia="宋体" w:cs="宋体"/>
          <w:color w:val="auto"/>
        </w:rPr>
        <w:t>式中</w:t>
      </w:r>
      <w:r>
        <w:rPr>
          <w:rFonts w:hint="eastAsia" w:cs="宋体"/>
          <w:color w:val="auto"/>
          <w:lang w:val="en-US" w:eastAsia="zh-CN"/>
        </w:rPr>
        <w:t xml:space="preserve">  </w:t>
      </w:r>
      <w:r>
        <w:rPr>
          <w:rFonts w:hint="eastAsia" w:ascii="宋体" w:hAnsi="宋体" w:eastAsia="宋体" w:cs="宋体"/>
          <w:color w:val="auto"/>
          <w:lang w:val="en-US" w:eastAsia="zh-CN"/>
        </w:rPr>
        <w:t>q—</w:t>
      </w:r>
      <w:r>
        <w:rPr>
          <w:rFonts w:hint="eastAsia" w:ascii="宋体" w:hAnsi="宋体" w:eastAsia="宋体" w:cs="宋体"/>
          <w:color w:val="auto"/>
        </w:rPr>
        <w:t>硬岩层载荷，</w:t>
      </w:r>
      <w:r>
        <w:rPr>
          <w:rFonts w:hint="eastAsia" w:ascii="宋体" w:hAnsi="宋体" w:eastAsia="宋体" w:cs="宋体"/>
          <w:color w:val="auto"/>
          <w:lang w:val="en-US" w:eastAsia="zh-CN"/>
        </w:rPr>
        <w:t>单位：</w:t>
      </w:r>
      <w:r>
        <w:rPr>
          <w:rFonts w:hint="eastAsia" w:ascii="宋体" w:hAnsi="宋体" w:eastAsia="宋体" w:cs="宋体"/>
          <w:color w:val="auto"/>
        </w:rPr>
        <w:t>Pa；</w:t>
      </w:r>
    </w:p>
    <w:p>
      <w:pPr>
        <w:pStyle w:val="57"/>
        <w:keepNext w:val="0"/>
        <w:keepLines w:val="0"/>
        <w:pageBreakBefore w:val="0"/>
        <w:widowControl w:val="0"/>
        <w:kinsoku/>
        <w:wordWrap/>
        <w:overflowPunct/>
        <w:topLinePunct w:val="0"/>
        <w:autoSpaceDE/>
        <w:autoSpaceDN/>
        <w:bidi w:val="0"/>
        <w:adjustRightInd/>
        <w:snapToGrid/>
        <w:spacing w:line="540" w:lineRule="exact"/>
        <w:ind w:firstLine="720" w:firstLineChars="300"/>
        <w:textAlignment w:val="auto"/>
        <w:rPr>
          <w:rFonts w:hint="eastAsia" w:ascii="宋体" w:hAnsi="宋体" w:eastAsia="宋体" w:cs="宋体"/>
          <w:color w:val="auto"/>
        </w:rPr>
      </w:pPr>
      <w:r>
        <w:rPr>
          <w:rFonts w:hint="eastAsia" w:ascii="宋体" w:hAnsi="宋体" w:eastAsia="宋体" w:cs="宋体"/>
          <w:color w:val="auto"/>
          <w:lang w:val="en-US" w:eastAsia="zh-CN"/>
        </w:rPr>
        <w:t>L</w:t>
      </w:r>
      <w:r>
        <w:rPr>
          <w:rFonts w:hint="eastAsia" w:ascii="宋体" w:hAnsi="宋体" w:eastAsia="宋体" w:cs="宋体"/>
          <w:color w:val="auto"/>
          <w:vertAlign w:val="subscript"/>
          <w:lang w:val="en-US" w:eastAsia="zh-CN"/>
        </w:rPr>
        <w:t>1</w:t>
      </w:r>
      <w:r>
        <w:rPr>
          <w:rFonts w:hint="eastAsia" w:ascii="宋体" w:hAnsi="宋体" w:eastAsia="宋体" w:cs="宋体"/>
          <w:color w:val="auto"/>
          <w:lang w:val="en-US" w:eastAsia="zh-CN"/>
        </w:rPr>
        <w:t>—</w:t>
      </w:r>
      <w:r>
        <w:rPr>
          <w:rFonts w:hint="eastAsia" w:ascii="宋体" w:hAnsi="宋体" w:eastAsia="宋体" w:cs="宋体"/>
          <w:color w:val="auto"/>
        </w:rPr>
        <w:t>分别为倾向破断步距，</w:t>
      </w:r>
      <w:r>
        <w:rPr>
          <w:rFonts w:hint="eastAsia" w:ascii="宋体" w:hAnsi="宋体" w:eastAsia="宋体" w:cs="宋体"/>
          <w:color w:val="auto"/>
          <w:lang w:val="en-US" w:eastAsia="zh-CN"/>
        </w:rPr>
        <w:t>单位：</w:t>
      </w:r>
      <w:r>
        <w:rPr>
          <w:rFonts w:hint="eastAsia" w:ascii="宋体" w:hAnsi="宋体" w:eastAsia="宋体" w:cs="宋体"/>
          <w:color w:val="auto"/>
        </w:rPr>
        <w:t>m；</w:t>
      </w:r>
    </w:p>
    <w:p>
      <w:pPr>
        <w:pStyle w:val="57"/>
        <w:keepNext w:val="0"/>
        <w:keepLines w:val="0"/>
        <w:pageBreakBefore w:val="0"/>
        <w:widowControl w:val="0"/>
        <w:kinsoku/>
        <w:wordWrap/>
        <w:overflowPunct/>
        <w:topLinePunct w:val="0"/>
        <w:autoSpaceDE/>
        <w:autoSpaceDN/>
        <w:bidi w:val="0"/>
        <w:adjustRightInd/>
        <w:snapToGrid/>
        <w:spacing w:line="540" w:lineRule="exact"/>
        <w:ind w:firstLine="720" w:firstLineChars="300"/>
        <w:textAlignment w:val="auto"/>
        <w:rPr>
          <w:rFonts w:hint="eastAsia" w:ascii="宋体" w:hAnsi="宋体" w:eastAsia="宋体" w:cs="宋体"/>
          <w:color w:val="auto"/>
          <w:lang w:eastAsia="zh-CN"/>
        </w:rPr>
      </w:pPr>
      <w:r>
        <w:rPr>
          <w:rFonts w:hint="eastAsia" w:ascii="宋体" w:hAnsi="宋体" w:eastAsia="宋体" w:cs="宋体"/>
          <w:color w:val="auto"/>
          <w:lang w:val="en-US" w:eastAsia="zh-CN"/>
        </w:rPr>
        <w:t>EI—</w:t>
      </w:r>
      <w:r>
        <w:rPr>
          <w:rFonts w:hint="eastAsia" w:ascii="宋体" w:hAnsi="宋体" w:eastAsia="宋体" w:cs="宋体"/>
          <w:color w:val="auto"/>
        </w:rPr>
        <w:t>简支梁界面抗弯强度，</w:t>
      </w:r>
      <w:r>
        <w:rPr>
          <w:rFonts w:hint="eastAsia" w:ascii="宋体" w:hAnsi="宋体" w:eastAsia="宋体" w:cs="宋体"/>
          <w:color w:val="auto"/>
          <w:lang w:val="en-US" w:eastAsia="zh-CN"/>
        </w:rPr>
        <w:t>单位：</w:t>
      </w:r>
      <w:r>
        <w:rPr>
          <w:rFonts w:hint="eastAsia" w:ascii="宋体" w:hAnsi="宋体" w:eastAsia="宋体" w:cs="宋体"/>
          <w:color w:val="auto"/>
        </w:rPr>
        <w:t>GPa·m</w:t>
      </w:r>
      <w:r>
        <w:rPr>
          <w:rFonts w:hint="eastAsia" w:ascii="宋体" w:hAnsi="宋体" w:eastAsia="宋体" w:cs="宋体"/>
          <w:color w:val="auto"/>
          <w:vertAlign w:val="superscript"/>
        </w:rPr>
        <w:t>3</w:t>
      </w:r>
      <w:r>
        <w:rPr>
          <w:rFonts w:hint="eastAsia" w:ascii="宋体" w:hAnsi="宋体" w:eastAsia="宋体" w:cs="宋体"/>
          <w:color w:val="auto"/>
          <w:lang w:eastAsia="zh-CN"/>
        </w:rPr>
        <w:t>。</w:t>
      </w:r>
    </w:p>
    <w:p>
      <w:pPr>
        <w:pStyle w:val="57"/>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宋体" w:hAnsi="宋体" w:eastAsia="宋体" w:cs="宋体"/>
          <w:color w:val="auto"/>
        </w:rPr>
      </w:pPr>
      <w:r>
        <w:rPr>
          <w:rFonts w:hint="eastAsia" w:ascii="宋体" w:hAnsi="宋体" w:eastAsia="宋体" w:cs="宋体"/>
          <w:color w:val="auto"/>
        </w:rPr>
        <w:t>设煤层上方的n层岩层依次断裂并释放能量，释放的能量分别记为E</w:t>
      </w:r>
      <w:r>
        <w:rPr>
          <w:rFonts w:hint="eastAsia" w:ascii="宋体" w:hAnsi="宋体" w:eastAsia="宋体" w:cs="宋体"/>
          <w:color w:val="auto"/>
          <w:vertAlign w:val="subscript"/>
        </w:rPr>
        <w:t>1</w:t>
      </w:r>
      <w:r>
        <w:rPr>
          <w:rFonts w:hint="eastAsia" w:ascii="宋体" w:hAnsi="宋体" w:eastAsia="宋体" w:cs="宋体"/>
          <w:color w:val="auto"/>
        </w:rPr>
        <w:t>、E</w:t>
      </w:r>
      <w:r>
        <w:rPr>
          <w:rFonts w:hint="eastAsia" w:ascii="宋体" w:hAnsi="宋体" w:eastAsia="宋体" w:cs="宋体"/>
          <w:color w:val="auto"/>
          <w:vertAlign w:val="subscript"/>
        </w:rPr>
        <w:t>2</w:t>
      </w:r>
      <w:r>
        <w:rPr>
          <w:rFonts w:hint="eastAsia" w:ascii="宋体" w:hAnsi="宋体" w:eastAsia="宋体" w:cs="宋体"/>
          <w:color w:val="auto"/>
        </w:rPr>
        <w:t>、E</w:t>
      </w:r>
      <w:r>
        <w:rPr>
          <w:rFonts w:hint="eastAsia" w:ascii="宋体" w:hAnsi="宋体" w:eastAsia="宋体" w:cs="宋体"/>
          <w:color w:val="auto"/>
          <w:vertAlign w:val="subscript"/>
        </w:rPr>
        <w:t>3</w:t>
      </w:r>
      <w:r>
        <w:rPr>
          <w:rFonts w:hint="eastAsia" w:ascii="宋体" w:hAnsi="宋体" w:eastAsia="宋体" w:cs="宋体"/>
          <w:color w:val="auto"/>
        </w:rPr>
        <w:t>、…、E</w:t>
      </w:r>
      <w:r>
        <w:rPr>
          <w:rFonts w:hint="eastAsia" w:ascii="宋体" w:hAnsi="宋体" w:eastAsia="宋体" w:cs="宋体"/>
          <w:color w:val="auto"/>
          <w:vertAlign w:val="subscript"/>
        </w:rPr>
        <w:t>n-1</w:t>
      </w:r>
      <w:r>
        <w:rPr>
          <w:rFonts w:hint="eastAsia" w:ascii="宋体" w:hAnsi="宋体" w:eastAsia="宋体" w:cs="宋体"/>
          <w:color w:val="auto"/>
        </w:rPr>
        <w:t>、E</w:t>
      </w:r>
      <w:r>
        <w:rPr>
          <w:rFonts w:hint="eastAsia" w:ascii="宋体" w:hAnsi="宋体" w:eastAsia="宋体" w:cs="宋体"/>
          <w:color w:val="auto"/>
          <w:vertAlign w:val="subscript"/>
        </w:rPr>
        <w:t>n</w:t>
      </w:r>
      <w:r>
        <w:rPr>
          <w:rFonts w:hint="eastAsia" w:ascii="宋体" w:hAnsi="宋体" w:eastAsia="宋体" w:cs="宋体"/>
          <w:color w:val="auto"/>
        </w:rPr>
        <w:t>，震源距离开采煤体的距离为r</w:t>
      </w:r>
      <w:r>
        <w:rPr>
          <w:rFonts w:hint="eastAsia" w:ascii="宋体" w:hAnsi="宋体" w:eastAsia="宋体" w:cs="宋体"/>
          <w:color w:val="auto"/>
          <w:vertAlign w:val="subscript"/>
        </w:rPr>
        <w:t>1</w:t>
      </w:r>
      <w:r>
        <w:rPr>
          <w:rFonts w:hint="eastAsia" w:ascii="宋体" w:hAnsi="宋体" w:eastAsia="宋体" w:cs="宋体"/>
          <w:color w:val="auto"/>
        </w:rPr>
        <w:t>、r</w:t>
      </w:r>
      <w:r>
        <w:rPr>
          <w:rFonts w:hint="eastAsia" w:ascii="宋体" w:hAnsi="宋体" w:eastAsia="宋体" w:cs="宋体"/>
          <w:color w:val="auto"/>
          <w:vertAlign w:val="subscript"/>
        </w:rPr>
        <w:t>2</w:t>
      </w:r>
      <w:r>
        <w:rPr>
          <w:rFonts w:hint="eastAsia" w:ascii="宋体" w:hAnsi="宋体" w:eastAsia="宋体" w:cs="宋体"/>
          <w:color w:val="auto"/>
        </w:rPr>
        <w:t>、r</w:t>
      </w:r>
      <w:r>
        <w:rPr>
          <w:rFonts w:hint="eastAsia" w:ascii="宋体" w:hAnsi="宋体" w:eastAsia="宋体" w:cs="宋体"/>
          <w:color w:val="auto"/>
          <w:vertAlign w:val="subscript"/>
        </w:rPr>
        <w:t>3</w:t>
      </w:r>
      <w:r>
        <w:rPr>
          <w:rFonts w:hint="eastAsia" w:ascii="宋体" w:hAnsi="宋体" w:eastAsia="宋体" w:cs="宋体"/>
          <w:color w:val="auto"/>
        </w:rPr>
        <w:t>、…、r</w:t>
      </w:r>
      <w:r>
        <w:rPr>
          <w:rFonts w:hint="eastAsia" w:ascii="宋体" w:hAnsi="宋体" w:eastAsia="宋体" w:cs="宋体"/>
          <w:color w:val="auto"/>
          <w:vertAlign w:val="subscript"/>
        </w:rPr>
        <w:t>n-1</w:t>
      </w:r>
      <w:r>
        <w:rPr>
          <w:rFonts w:hint="eastAsia" w:ascii="宋体" w:hAnsi="宋体" w:eastAsia="宋体" w:cs="宋体"/>
          <w:color w:val="auto"/>
        </w:rPr>
        <w:t>、r</w:t>
      </w:r>
      <w:r>
        <w:rPr>
          <w:rFonts w:hint="eastAsia" w:ascii="宋体" w:hAnsi="宋体" w:eastAsia="宋体" w:cs="宋体"/>
          <w:color w:val="auto"/>
          <w:vertAlign w:val="subscript"/>
        </w:rPr>
        <w:t>n</w:t>
      </w:r>
      <w:r>
        <w:rPr>
          <w:rFonts w:hint="eastAsia" w:ascii="宋体" w:hAnsi="宋体" w:eastAsia="宋体" w:cs="宋体"/>
          <w:color w:val="auto"/>
        </w:rPr>
        <w:t>，该能量在岩体中以指数形式衰减，衰减指数（阻尼）为η，衰减规律为</w:t>
      </w:r>
    </w:p>
    <w:p>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Theme="minorEastAsia" w:hAnsiTheme="minorEastAsia" w:eastAsiaTheme="minorEastAsia" w:cstheme="minorEastAsia"/>
          <w:color w:val="auto"/>
          <w:sz w:val="24"/>
          <w:szCs w:val="22"/>
          <w14:ligatures w14:val="standardContextual"/>
        </w:rPr>
      </w:pPr>
      <w:r>
        <w:rPr>
          <w:rFonts w:hint="eastAsia" w:asciiTheme="minorEastAsia" w:hAnsiTheme="minorEastAsia" w:eastAsiaTheme="minorEastAsia" w:cstheme="minorEastAsia"/>
          <w:color w:val="auto"/>
          <w:position w:val="-12"/>
          <w:sz w:val="24"/>
          <w:szCs w:val="22"/>
          <w14:ligatures w14:val="standardContextual"/>
        </w:rPr>
        <w:object>
          <v:shape id="_x0000_i1032" o:spt="75" type="#_x0000_t75" style="height:18.5pt;width:54pt;" o:ole="t" filled="f" o:preferrelative="t" stroked="f" coordsize="21600,21600">
            <v:path/>
            <v:fill on="f" focussize="0,0"/>
            <v:stroke on="f" joinstyle="miter"/>
            <v:imagedata r:id="rId36" o:title=""/>
            <o:lock v:ext="edit" aspectratio="t"/>
            <w10:wrap type="none"/>
            <w10:anchorlock/>
          </v:shape>
          <o:OLEObject Type="Embed" ProgID="Equation.DSMT4" ShapeID="_x0000_i1032" DrawAspect="Content" ObjectID="_1468075732" r:id="rId35">
            <o:LockedField>false</o:LockedField>
          </o:OLEObject>
        </w:object>
      </w:r>
    </w:p>
    <w:p>
      <w:pPr>
        <w:pStyle w:val="57"/>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color w:val="auto"/>
          <w:lang w:val="en-US" w:eastAsia="zh-CN"/>
        </w:rPr>
      </w:pPr>
      <w:r>
        <w:rPr>
          <w:color w:val="auto"/>
        </w:rPr>
        <w:t>则传播至煤体的能量分别为：</w:t>
      </w:r>
    </w:p>
    <w:p>
      <w:pPr>
        <w:spacing w:line="360" w:lineRule="auto"/>
        <w:jc w:val="center"/>
        <w:rPr>
          <w:rFonts w:ascii="Times New Roman" w:hAnsi="Times New Roman" w:eastAsia="宋体" w:cs="Times New Roman"/>
          <w:color w:val="auto"/>
          <w:sz w:val="24"/>
          <w:szCs w:val="22"/>
          <w14:ligatures w14:val="standardContextual"/>
        </w:rPr>
      </w:pPr>
      <w:r>
        <w:rPr>
          <w:rFonts w:hint="eastAsia" w:asciiTheme="minorEastAsia" w:hAnsiTheme="minorEastAsia" w:eastAsiaTheme="minorEastAsia" w:cstheme="minorEastAsia"/>
          <w:color w:val="auto"/>
          <w:position w:val="-92"/>
          <w:sz w:val="24"/>
          <w:szCs w:val="22"/>
          <w14:ligatures w14:val="standardContextual"/>
        </w:rPr>
        <w:object>
          <v:shape id="_x0000_i1033" o:spt="75" type="#_x0000_t75" style="height:98.5pt;width:80.5pt;" o:ole="t" filled="f" o:preferrelative="t" stroked="f" coordsize="21600,21600">
            <v:path/>
            <v:fill on="f" focussize="0,0"/>
            <v:stroke on="f" joinstyle="miter"/>
            <v:imagedata r:id="rId38" o:title=""/>
            <o:lock v:ext="edit" aspectratio="t"/>
            <w10:wrap type="none"/>
            <w10:anchorlock/>
          </v:shape>
          <o:OLEObject Type="Embed" ProgID="Equation.DSMT4" ShapeID="_x0000_i1033" DrawAspect="Content" ObjectID="_1468075733" r:id="rId37">
            <o:LockedField>false</o:LockedField>
          </o:OLEObject>
        </w:object>
      </w:r>
    </w:p>
    <w:p>
      <w:pPr>
        <w:pStyle w:val="57"/>
        <w:bidi w:val="0"/>
        <w:rPr>
          <w:rFonts w:hint="eastAsia"/>
          <w:color w:val="auto"/>
          <w:lang w:val="en-US" w:eastAsia="zh-CN"/>
        </w:rPr>
      </w:pPr>
      <w:r>
        <w:rPr>
          <w:color w:val="auto"/>
          <w:lang w:val="en-US" w:eastAsia="zh-CN"/>
        </w:rPr>
        <w:t>计算得到</w:t>
      </w:r>
      <w:r>
        <w:rPr>
          <w:rFonts w:hint="eastAsia"/>
          <w:color w:val="auto"/>
          <w:lang w:val="en-US" w:eastAsia="zh-CN"/>
        </w:rPr>
        <w:t>各</w:t>
      </w:r>
      <w:r>
        <w:rPr>
          <w:rFonts w:hint="eastAsia" w:asciiTheme="minorEastAsia" w:hAnsiTheme="minorEastAsia" w:eastAsiaTheme="minorEastAsia" w:cstheme="minorEastAsia"/>
          <w:color w:val="auto"/>
        </w:rPr>
        <w:t>硬岩层</w:t>
      </w:r>
      <w:r>
        <w:rPr>
          <w:rFonts w:hint="eastAsia"/>
          <w:color w:val="auto"/>
          <w:lang w:val="en-US" w:eastAsia="zh-CN"/>
        </w:rPr>
        <w:t>能量积聚及动载扰动特征如表2-1-2所示。</w:t>
      </w:r>
    </w:p>
    <w:p>
      <w:pPr>
        <w:pStyle w:val="57"/>
        <w:bidi w:val="0"/>
        <w:ind w:left="0" w:leftChars="0" w:firstLine="0" w:firstLineChars="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表2-1-2                             覆岩关键层判别</w:t>
      </w:r>
    </w:p>
    <w:tbl>
      <w:tblPr>
        <w:tblStyle w:val="25"/>
        <w:tblW w:w="4996" w:type="pct"/>
        <w:jc w:val="center"/>
        <w:tblLayout w:type="autofit"/>
        <w:tblCellMar>
          <w:top w:w="0" w:type="dxa"/>
          <w:left w:w="108" w:type="dxa"/>
          <w:bottom w:w="0" w:type="dxa"/>
          <w:right w:w="108" w:type="dxa"/>
        </w:tblCellMar>
      </w:tblPr>
      <w:tblGrid>
        <w:gridCol w:w="1056"/>
        <w:gridCol w:w="1045"/>
        <w:gridCol w:w="1985"/>
        <w:gridCol w:w="1479"/>
        <w:gridCol w:w="1479"/>
        <w:gridCol w:w="1128"/>
        <w:gridCol w:w="1109"/>
      </w:tblGrid>
      <w:tr>
        <w:tblPrEx>
          <w:tblCellMar>
            <w:top w:w="0" w:type="dxa"/>
            <w:left w:w="108" w:type="dxa"/>
            <w:bottom w:w="0" w:type="dxa"/>
            <w:right w:w="108" w:type="dxa"/>
          </w:tblCellMar>
        </w:tblPrEx>
        <w:trPr>
          <w:trHeight w:val="794"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岩性</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层厚</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与煤层垂距（m）</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初次破断距（m）</w:t>
            </w: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周期破断距（m）</w:t>
            </w:r>
          </w:p>
        </w:tc>
        <w:tc>
          <w:tcPr>
            <w:tcW w:w="607"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积聚能量（J）</w:t>
            </w:r>
          </w:p>
        </w:tc>
        <w:tc>
          <w:tcPr>
            <w:tcW w:w="597"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传递至煤体能量（J）</w:t>
            </w: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粗砂岩</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8</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72</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563"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8</w:t>
            </w:r>
          </w:p>
        </w:tc>
        <w:tc>
          <w:tcPr>
            <w:tcW w:w="1069" w:type="pct"/>
            <w:tcBorders>
              <w:top w:val="single" w:color="000000" w:sz="4" w:space="0"/>
              <w:left w:val="single" w:color="000000" w:sz="4" w:space="0"/>
              <w:bottom w:val="single" w:color="000000" w:sz="4" w:space="0"/>
              <w:right w:val="single" w:color="000000"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64</w:t>
            </w:r>
          </w:p>
        </w:tc>
        <w:tc>
          <w:tcPr>
            <w:tcW w:w="796"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86.32</w:t>
            </w:r>
          </w:p>
        </w:tc>
        <w:tc>
          <w:tcPr>
            <w:tcW w:w="796"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35.24</w:t>
            </w:r>
          </w:p>
        </w:tc>
        <w:tc>
          <w:tcPr>
            <w:tcW w:w="60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3.43×10</w:t>
            </w:r>
            <w:r>
              <w:rPr>
                <w:rFonts w:hint="eastAsia" w:ascii="楷体_GB2312" w:hAnsi="楷体_GB2312" w:eastAsia="楷体_GB2312" w:cs="楷体_GB2312"/>
                <w:color w:val="auto"/>
                <w:kern w:val="0"/>
                <w:sz w:val="21"/>
                <w:szCs w:val="21"/>
                <w:vertAlign w:val="superscript"/>
                <w14:ligatures w14:val="none"/>
              </w:rPr>
              <w:t>5</w:t>
            </w:r>
          </w:p>
        </w:tc>
        <w:tc>
          <w:tcPr>
            <w:tcW w:w="59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2.86×10</w:t>
            </w:r>
            <w:r>
              <w:rPr>
                <w:rFonts w:hint="eastAsia" w:ascii="楷体_GB2312" w:hAnsi="楷体_GB2312" w:eastAsia="楷体_GB2312" w:cs="楷体_GB2312"/>
                <w:color w:val="auto"/>
                <w:kern w:val="0"/>
                <w:sz w:val="21"/>
                <w:szCs w:val="21"/>
                <w:vertAlign w:val="superscript"/>
                <w14:ligatures w14:val="none"/>
              </w:rPr>
              <w:t>3</w:t>
            </w: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泥岩</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59</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54</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563"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9</w:t>
            </w:r>
          </w:p>
        </w:tc>
        <w:tc>
          <w:tcPr>
            <w:tcW w:w="1069" w:type="pct"/>
            <w:tcBorders>
              <w:top w:val="single" w:color="000000" w:sz="4" w:space="0"/>
              <w:left w:val="single" w:color="000000" w:sz="4" w:space="0"/>
              <w:bottom w:val="single" w:color="000000" w:sz="4" w:space="0"/>
              <w:right w:val="single" w:color="000000"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45</w:t>
            </w:r>
          </w:p>
        </w:tc>
        <w:tc>
          <w:tcPr>
            <w:tcW w:w="796"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76.83</w:t>
            </w:r>
          </w:p>
        </w:tc>
        <w:tc>
          <w:tcPr>
            <w:tcW w:w="796"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31.36</w:t>
            </w:r>
          </w:p>
        </w:tc>
        <w:tc>
          <w:tcPr>
            <w:tcW w:w="60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6.52×10</w:t>
            </w:r>
            <w:r>
              <w:rPr>
                <w:rFonts w:hint="eastAsia" w:ascii="楷体_GB2312" w:hAnsi="楷体_GB2312" w:eastAsia="楷体_GB2312" w:cs="楷体_GB2312"/>
                <w:color w:val="auto"/>
                <w:kern w:val="0"/>
                <w:sz w:val="21"/>
                <w:szCs w:val="21"/>
                <w:vertAlign w:val="superscript"/>
                <w14:ligatures w14:val="none"/>
              </w:rPr>
              <w:t>5</w:t>
            </w:r>
          </w:p>
        </w:tc>
        <w:tc>
          <w:tcPr>
            <w:tcW w:w="59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8.16×10</w:t>
            </w:r>
            <w:r>
              <w:rPr>
                <w:rFonts w:hint="eastAsia" w:ascii="楷体_GB2312" w:hAnsi="楷体_GB2312" w:eastAsia="楷体_GB2312" w:cs="楷体_GB2312"/>
                <w:color w:val="auto"/>
                <w:kern w:val="0"/>
                <w:sz w:val="21"/>
                <w:szCs w:val="21"/>
                <w:vertAlign w:val="superscript"/>
                <w14:ligatures w14:val="none"/>
              </w:rPr>
              <w:t>3</w:t>
            </w: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9</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36</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33</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7</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26</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563" w:type="pct"/>
            <w:tcBorders>
              <w:top w:val="single" w:color="000000" w:sz="4" w:space="0"/>
              <w:left w:val="single" w:color="000000" w:sz="4" w:space="0"/>
              <w:right w:val="single" w:color="000000" w:sz="4" w:space="0"/>
            </w:tcBorders>
            <w:shd w:val="clear" w:color="auto" w:fill="auto"/>
            <w:noWrap/>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w:t>
            </w:r>
          </w:p>
        </w:tc>
        <w:tc>
          <w:tcPr>
            <w:tcW w:w="1069" w:type="pct"/>
            <w:tcBorders>
              <w:top w:val="single" w:color="000000" w:sz="4" w:space="0"/>
              <w:left w:val="single" w:color="000000" w:sz="4" w:space="0"/>
              <w:right w:val="single" w:color="000000" w:sz="4" w:space="0"/>
            </w:tcBorders>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23</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砂质泥岩</w:t>
            </w:r>
          </w:p>
        </w:tc>
        <w:tc>
          <w:tcPr>
            <w:tcW w:w="563" w:type="pct"/>
            <w:tcBorders>
              <w:top w:val="single" w:color="000000" w:sz="4" w:space="0"/>
              <w:left w:val="single" w:color="000000" w:sz="4" w:space="0"/>
              <w:right w:val="single" w:color="000000" w:sz="4" w:space="0"/>
            </w:tcBorders>
            <w:shd w:val="clear" w:color="auto" w:fill="auto"/>
            <w:noWrap/>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w:t>
            </w:r>
          </w:p>
        </w:tc>
        <w:tc>
          <w:tcPr>
            <w:tcW w:w="1069" w:type="pct"/>
            <w:tcBorders>
              <w:top w:val="single" w:color="000000" w:sz="4" w:space="0"/>
              <w:left w:val="single" w:color="000000" w:sz="4" w:space="0"/>
              <w:right w:val="single" w:color="000000" w:sz="4" w:space="0"/>
            </w:tcBorders>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21</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粉砂岩</w:t>
            </w:r>
          </w:p>
        </w:tc>
        <w:tc>
          <w:tcPr>
            <w:tcW w:w="563" w:type="pct"/>
            <w:tcBorders>
              <w:top w:val="single" w:color="000000" w:sz="4" w:space="0"/>
              <w:left w:val="single" w:color="000000" w:sz="4" w:space="0"/>
              <w:right w:val="single" w:color="000000" w:sz="4" w:space="0"/>
            </w:tcBorders>
            <w:shd w:val="clear" w:color="auto" w:fill="FFC000"/>
            <w:noWrap/>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10</w:t>
            </w:r>
          </w:p>
        </w:tc>
        <w:tc>
          <w:tcPr>
            <w:tcW w:w="1069" w:type="pct"/>
            <w:tcBorders>
              <w:top w:val="single" w:color="000000" w:sz="4" w:space="0"/>
              <w:left w:val="single" w:color="000000" w:sz="4" w:space="0"/>
              <w:right w:val="single" w:color="000000" w:sz="4" w:space="0"/>
            </w:tcBorders>
            <w:shd w:val="clear" w:color="auto" w:fill="FFC000"/>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11</w:t>
            </w:r>
          </w:p>
        </w:tc>
        <w:tc>
          <w:tcPr>
            <w:tcW w:w="796"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65.59</w:t>
            </w:r>
          </w:p>
        </w:tc>
        <w:tc>
          <w:tcPr>
            <w:tcW w:w="796"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26.78</w:t>
            </w:r>
          </w:p>
        </w:tc>
        <w:tc>
          <w:tcPr>
            <w:tcW w:w="607" w:type="pct"/>
            <w:tcBorders>
              <w:top w:val="single" w:color="000000" w:sz="4" w:space="0"/>
              <w:left w:val="single" w:color="auto"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4.38×10</w:t>
            </w:r>
            <w:r>
              <w:rPr>
                <w:rFonts w:hint="eastAsia" w:ascii="楷体_GB2312" w:hAnsi="楷体_GB2312" w:eastAsia="楷体_GB2312" w:cs="楷体_GB2312"/>
                <w:color w:val="auto"/>
                <w:kern w:val="0"/>
                <w:sz w:val="21"/>
                <w:szCs w:val="21"/>
                <w:vertAlign w:val="superscript"/>
                <w14:ligatures w14:val="none"/>
              </w:rPr>
              <w:t>5</w:t>
            </w:r>
          </w:p>
        </w:tc>
        <w:tc>
          <w:tcPr>
            <w:tcW w:w="597" w:type="pct"/>
            <w:tcBorders>
              <w:top w:val="single" w:color="000000" w:sz="4" w:space="0"/>
              <w:left w:val="single" w:color="auto"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1.94×10</w:t>
            </w:r>
            <w:r>
              <w:rPr>
                <w:rFonts w:hint="eastAsia" w:ascii="楷体_GB2312" w:hAnsi="楷体_GB2312" w:eastAsia="楷体_GB2312" w:cs="楷体_GB2312"/>
                <w:color w:val="auto"/>
                <w:kern w:val="0"/>
                <w:sz w:val="21"/>
                <w:szCs w:val="21"/>
                <w:vertAlign w:val="superscript"/>
                <w14:ligatures w14:val="none"/>
              </w:rPr>
              <w:t>4</w:t>
            </w: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灰岩</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w:t>
            </w:r>
          </w:p>
        </w:tc>
        <w:tc>
          <w:tcPr>
            <w:tcW w:w="1069"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w:t>
            </w:r>
          </w:p>
        </w:tc>
        <w:tc>
          <w:tcPr>
            <w:tcW w:w="796" w:type="pct"/>
            <w:tcBorders>
              <w:top w:val="single" w:color="000000" w:sz="4" w:space="0"/>
              <w:left w:val="nil"/>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single" w:color="auto" w:sz="4" w:space="0"/>
              <w:bottom w:val="single" w:color="000000" w:sz="4" w:space="0"/>
              <w:right w:val="single" w:color="auto" w:sz="4" w:space="0"/>
            </w:tcBorders>
            <w:shd w:val="clear" w:color="auto" w:fill="FFFFFF"/>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石英砂岩</w:t>
            </w:r>
          </w:p>
        </w:tc>
        <w:tc>
          <w:tcPr>
            <w:tcW w:w="563"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w:t>
            </w:r>
          </w:p>
        </w:tc>
        <w:tc>
          <w:tcPr>
            <w:tcW w:w="1069" w:type="pct"/>
            <w:tcBorders>
              <w:top w:val="single" w:color="000000" w:sz="4" w:space="0"/>
              <w:left w:val="single" w:color="000000" w:sz="4" w:space="0"/>
              <w:bottom w:val="single" w:color="000000" w:sz="4" w:space="0"/>
              <w:right w:val="single" w:color="000000"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0</w:t>
            </w:r>
          </w:p>
        </w:tc>
        <w:tc>
          <w:tcPr>
            <w:tcW w:w="796"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69.64</w:t>
            </w:r>
          </w:p>
        </w:tc>
        <w:tc>
          <w:tcPr>
            <w:tcW w:w="796"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28.43</w:t>
            </w:r>
          </w:p>
        </w:tc>
        <w:tc>
          <w:tcPr>
            <w:tcW w:w="60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vertAlign w:val="superscript"/>
                <w14:ligatures w14:val="none"/>
              </w:rPr>
            </w:pPr>
            <w:r>
              <w:rPr>
                <w:rFonts w:hint="eastAsia" w:ascii="楷体_GB2312" w:hAnsi="楷体_GB2312" w:eastAsia="楷体_GB2312" w:cs="楷体_GB2312"/>
                <w:color w:val="auto"/>
                <w:kern w:val="0"/>
                <w:sz w:val="21"/>
                <w:szCs w:val="21"/>
                <w14:ligatures w14:val="none"/>
              </w:rPr>
              <w:t>6.21×10</w:t>
            </w:r>
            <w:r>
              <w:rPr>
                <w:rFonts w:hint="eastAsia" w:ascii="楷体_GB2312" w:hAnsi="楷体_GB2312" w:eastAsia="楷体_GB2312" w:cs="楷体_GB2312"/>
                <w:color w:val="auto"/>
                <w:kern w:val="0"/>
                <w:sz w:val="21"/>
                <w:szCs w:val="21"/>
                <w:vertAlign w:val="superscript"/>
                <w14:ligatures w14:val="none"/>
              </w:rPr>
              <w:t>4</w:t>
            </w:r>
          </w:p>
        </w:tc>
        <w:tc>
          <w:tcPr>
            <w:tcW w:w="59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6.21×10</w:t>
            </w:r>
            <w:r>
              <w:rPr>
                <w:rFonts w:hint="eastAsia" w:ascii="楷体_GB2312" w:hAnsi="楷体_GB2312" w:eastAsia="楷体_GB2312" w:cs="楷体_GB2312"/>
                <w:color w:val="auto"/>
                <w:kern w:val="0"/>
                <w:sz w:val="21"/>
                <w:szCs w:val="21"/>
                <w:vertAlign w:val="superscript"/>
                <w14:ligatures w14:val="none"/>
              </w:rPr>
              <w:t>4</w:t>
            </w:r>
          </w:p>
        </w:tc>
      </w:tr>
      <w:tr>
        <w:tblPrEx>
          <w:tblCellMar>
            <w:top w:w="0" w:type="dxa"/>
            <w:left w:w="108" w:type="dxa"/>
            <w:bottom w:w="0" w:type="dxa"/>
            <w:right w:w="108" w:type="dxa"/>
          </w:tblCellMar>
        </w:tblPrEx>
        <w:trPr>
          <w:trHeight w:val="397" w:hRule="atLeast"/>
          <w:jc w:val="center"/>
        </w:trPr>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煤</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23.69</w:t>
            </w:r>
          </w:p>
        </w:tc>
        <w:tc>
          <w:tcPr>
            <w:tcW w:w="1069" w:type="pct"/>
            <w:tcBorders>
              <w:top w:val="single" w:color="000000" w:sz="4" w:space="0"/>
              <w:left w:val="single" w:color="000000" w:sz="4" w:space="0"/>
              <w:bottom w:val="single" w:color="000000" w:sz="4" w:space="0"/>
              <w:right w:val="single" w:color="000000" w:sz="4" w:space="0"/>
            </w:tcBorders>
            <w:shd w:val="clear" w:color="auto" w:fill="000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nil"/>
              <w:bottom w:val="single" w:color="000000" w:sz="4" w:space="0"/>
              <w:right w:val="nil"/>
            </w:tcBorders>
            <w:shd w:val="clear" w:color="auto" w:fill="000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96" w:type="pct"/>
            <w:tcBorders>
              <w:top w:val="single" w:color="000000" w:sz="4" w:space="0"/>
              <w:left w:val="nil"/>
              <w:bottom w:val="single" w:color="000000" w:sz="4" w:space="0"/>
              <w:right w:val="nil"/>
            </w:tcBorders>
            <w:shd w:val="clear" w:color="auto" w:fill="000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07" w:type="pct"/>
            <w:tcBorders>
              <w:top w:val="single" w:color="000000" w:sz="4" w:space="0"/>
              <w:left w:val="nil"/>
              <w:bottom w:val="single" w:color="000000" w:sz="4" w:space="0"/>
              <w:right w:val="single" w:color="auto" w:sz="4" w:space="0"/>
            </w:tcBorders>
            <w:shd w:val="clear" w:color="auto" w:fill="000000"/>
            <w:vAlign w:val="center"/>
          </w:tcPr>
          <w:p>
            <w:pPr>
              <w:widowControl/>
              <w:tabs>
                <w:tab w:val="left" w:pos="-7140"/>
              </w:tabs>
              <w:spacing w:line="240" w:lineRule="auto"/>
              <w:ind w:left="-840" w:leftChars="-2000" w:right="-1256" w:rightChars="-598" w:hanging="3360" w:hangingChars="1600"/>
              <w:jc w:val="center"/>
              <w:rPr>
                <w:rFonts w:hint="eastAsia" w:ascii="楷体_GB2312" w:hAnsi="楷体_GB2312" w:eastAsia="楷体_GB2312" w:cs="楷体_GB2312"/>
                <w:color w:val="auto"/>
                <w:kern w:val="0"/>
                <w:sz w:val="21"/>
                <w:szCs w:val="21"/>
                <w14:ligatures w14:val="none"/>
              </w:rPr>
            </w:pPr>
          </w:p>
        </w:tc>
        <w:tc>
          <w:tcPr>
            <w:tcW w:w="597" w:type="pct"/>
            <w:tcBorders>
              <w:top w:val="single" w:color="000000" w:sz="4" w:space="0"/>
              <w:left w:val="nil"/>
              <w:bottom w:val="single" w:color="000000" w:sz="4" w:space="0"/>
              <w:right w:val="single" w:color="auto" w:sz="4" w:space="0"/>
            </w:tcBorders>
            <w:shd w:val="clear" w:color="auto" w:fill="000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bl>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rPr>
      </w:pPr>
      <w:r>
        <w:rPr>
          <w:rFonts w:hint="eastAsia"/>
          <w:color w:val="auto"/>
        </w:rPr>
        <w:t>由表可知，距煤层上方第一层及第二层厚硬岩层为低位关键层，由于离</w:t>
      </w:r>
      <w:r>
        <w:rPr>
          <w:rFonts w:hint="eastAsia" w:ascii="宋体" w:hAnsi="宋体" w:eastAsia="宋体" w:cs="宋体"/>
          <w:b w:val="0"/>
          <w:color w:val="auto"/>
          <w:kern w:val="2"/>
          <w:sz w:val="24"/>
          <w:szCs w:val="21"/>
          <w:lang w:val="en-US" w:eastAsia="zh-CN" w:bidi="ar"/>
        </w:rPr>
        <w:t>一层煤</w:t>
      </w:r>
      <w:r>
        <w:rPr>
          <w:rFonts w:hint="eastAsia"/>
          <w:color w:val="auto"/>
        </w:rPr>
        <w:t>距离较近，该岩层破断后释放的能量传递至煤层中的能量衰减较小，易诱发工作面强矿压动力灾害。上覆岩层中第三层及第四层厚硬岩层，分别为中位及高位关键层，两关键层破断释放的能量（岩层结构致密条件下）传递至煤层内衰减至1</w:t>
      </w:r>
      <w:r>
        <w:rPr>
          <w:rFonts w:hint="eastAsia"/>
          <w:color w:val="auto"/>
          <w:lang w:val="en-US" w:eastAsia="zh-CN"/>
        </w:rPr>
        <w:t>0</w:t>
      </w:r>
      <w:r>
        <w:rPr>
          <w:rFonts w:hint="eastAsia"/>
          <w:color w:val="auto"/>
          <w:vertAlign w:val="superscript"/>
          <w:lang w:val="en-US" w:eastAsia="zh-CN"/>
        </w:rPr>
        <w:t>3</w:t>
      </w:r>
      <w:r>
        <w:rPr>
          <w:rFonts w:hint="eastAsia"/>
          <w:color w:val="auto"/>
        </w:rPr>
        <w:t>～</w:t>
      </w:r>
      <w:r>
        <w:rPr>
          <w:rFonts w:hint="eastAsia"/>
          <w:color w:val="auto"/>
          <w:lang w:val="en-US" w:eastAsia="zh-CN"/>
        </w:rPr>
        <w:t>10</w:t>
      </w:r>
      <w:r>
        <w:rPr>
          <w:rFonts w:hint="eastAsia"/>
          <w:color w:val="auto"/>
          <w:vertAlign w:val="superscript"/>
          <w:lang w:val="en-US" w:eastAsia="zh-CN"/>
        </w:rPr>
        <w:t>4</w:t>
      </w:r>
      <w:r>
        <w:rPr>
          <w:rFonts w:hint="eastAsia"/>
          <w:color w:val="auto"/>
        </w:rPr>
        <w:t>J，且以3次方能量为主。根据上述分析认为距离煤层0～25m的低位关键层、40～55m的中位关键层及65～75m的高位关键层破断时对工作面的影响较大，为矿压主控关键层。</w:t>
      </w:r>
    </w:p>
    <w:p>
      <w:pPr>
        <w:keepNext w:val="0"/>
        <w:keepLines w:val="0"/>
        <w:pageBreakBefore w:val="0"/>
        <w:widowControl w:val="0"/>
        <w:kinsoku/>
        <w:wordWrap/>
        <w:overflowPunct/>
        <w:topLinePunct w:val="0"/>
        <w:autoSpaceDE/>
        <w:autoSpaceDN/>
        <w:bidi w:val="0"/>
        <w:adjustRightInd/>
        <w:snapToGrid/>
        <w:spacing w:line="58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eastAsia="宋体" w:cstheme="minorEastAsia"/>
          <w:color w:val="auto"/>
          <w:kern w:val="2"/>
          <w:sz w:val="24"/>
          <w:szCs w:val="24"/>
          <w:lang w:val="en-US" w:eastAsia="zh-CN" w:bidi="ar-SA"/>
        </w:rPr>
        <w:t>（</w:t>
      </w:r>
      <w:r>
        <w:rPr>
          <w:rFonts w:hint="eastAsia" w:ascii="宋体" w:hAnsi="宋体" w:cstheme="minorEastAsia"/>
          <w:color w:val="auto"/>
          <w:kern w:val="2"/>
          <w:sz w:val="24"/>
          <w:szCs w:val="24"/>
          <w:lang w:val="en-US" w:eastAsia="zh-CN" w:bidi="ar-SA"/>
        </w:rPr>
        <w:t>二</w:t>
      </w:r>
      <w:r>
        <w:rPr>
          <w:rFonts w:hint="eastAsia" w:ascii="宋体" w:hAnsi="宋体" w:eastAsia="宋体" w:cstheme="minorEastAsia"/>
          <w:color w:val="auto"/>
          <w:kern w:val="2"/>
          <w:sz w:val="24"/>
          <w:szCs w:val="24"/>
          <w:lang w:val="en-US" w:eastAsia="zh-CN" w:bidi="ar-SA"/>
        </w:rPr>
        <w:t>）南103</w:t>
      </w:r>
      <w:r>
        <w:rPr>
          <w:rFonts w:hint="eastAsia" w:ascii="宋体" w:hAnsi="宋体" w:eastAsia="宋体" w:cstheme="minorEastAsia"/>
          <w:color w:val="auto"/>
          <w:kern w:val="2"/>
          <w:sz w:val="24"/>
          <w:szCs w:val="24"/>
          <w:vertAlign w:val="superscript"/>
          <w:lang w:val="en-US" w:eastAsia="zh-CN" w:bidi="ar-SA"/>
        </w:rPr>
        <w:t>-1</w:t>
      </w:r>
      <w:r>
        <w:rPr>
          <w:rFonts w:hint="eastAsia" w:ascii="宋体" w:hAnsi="宋体" w:eastAsia="宋体" w:cstheme="minorEastAsia"/>
          <w:color w:val="auto"/>
          <w:kern w:val="2"/>
          <w:sz w:val="24"/>
          <w:szCs w:val="24"/>
          <w:lang w:val="en-US" w:eastAsia="zh-CN" w:bidi="ar-SA"/>
        </w:rPr>
        <w:t>工作面钻孔</w:t>
      </w:r>
    </w:p>
    <w:p>
      <w:pPr>
        <w:keepNext w:val="0"/>
        <w:keepLines w:val="0"/>
        <w:pageBreakBefore w:val="0"/>
        <w:widowControl w:val="0"/>
        <w:kinsoku/>
        <w:wordWrap/>
        <w:overflowPunct/>
        <w:topLinePunct w:val="0"/>
        <w:autoSpaceDE/>
        <w:autoSpaceDN/>
        <w:bidi w:val="0"/>
        <w:adjustRightInd/>
        <w:snapToGrid/>
        <w:spacing w:line="58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cstheme="minorEastAsia"/>
          <w:color w:val="auto"/>
          <w:kern w:val="2"/>
          <w:sz w:val="24"/>
          <w:szCs w:val="24"/>
          <w:lang w:val="en-US" w:eastAsia="zh-CN" w:bidi="ar-SA"/>
        </w:rPr>
        <w:t>1.</w:t>
      </w:r>
      <w:r>
        <w:rPr>
          <w:rFonts w:hint="eastAsia" w:ascii="宋体" w:hAnsi="宋体" w:eastAsia="宋体" w:cstheme="minorEastAsia"/>
          <w:color w:val="auto"/>
          <w:kern w:val="2"/>
          <w:sz w:val="24"/>
          <w:szCs w:val="24"/>
          <w:lang w:val="en-US" w:eastAsia="zh-CN" w:bidi="ar-SA"/>
        </w:rPr>
        <w:t>顶板岩性及物理力学性质</w:t>
      </w:r>
    </w:p>
    <w:p>
      <w:pPr>
        <w:keepNext w:val="0"/>
        <w:keepLines w:val="0"/>
        <w:pageBreakBefore w:val="0"/>
        <w:widowControl w:val="0"/>
        <w:kinsoku/>
        <w:wordWrap/>
        <w:overflowPunct/>
        <w:topLinePunct w:val="0"/>
        <w:autoSpaceDE/>
        <w:autoSpaceDN/>
        <w:bidi w:val="0"/>
        <w:adjustRightInd/>
        <w:snapToGrid/>
        <w:spacing w:line="58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eastAsia="宋体" w:cstheme="minorEastAsia"/>
          <w:color w:val="auto"/>
          <w:kern w:val="2"/>
          <w:sz w:val="24"/>
          <w:szCs w:val="24"/>
          <w:lang w:val="en-US" w:eastAsia="zh-CN" w:bidi="ar-SA"/>
        </w:rPr>
        <w:t>以南103</w:t>
      </w:r>
      <w:r>
        <w:rPr>
          <w:rFonts w:hint="eastAsia" w:ascii="宋体" w:hAnsi="宋体" w:eastAsia="宋体" w:cstheme="minorEastAsia"/>
          <w:color w:val="auto"/>
          <w:kern w:val="2"/>
          <w:sz w:val="24"/>
          <w:szCs w:val="24"/>
          <w:vertAlign w:val="superscript"/>
          <w:lang w:val="en-US" w:eastAsia="zh-CN" w:bidi="ar-SA"/>
        </w:rPr>
        <w:t>-1</w:t>
      </w:r>
      <w:r>
        <w:rPr>
          <w:rFonts w:hint="eastAsia" w:ascii="宋体" w:hAnsi="宋体" w:eastAsia="宋体" w:cstheme="minorEastAsia"/>
          <w:color w:val="auto"/>
          <w:kern w:val="2"/>
          <w:sz w:val="24"/>
          <w:szCs w:val="24"/>
          <w:lang w:val="en-US" w:eastAsia="zh-CN" w:bidi="ar-SA"/>
        </w:rPr>
        <w:t>工作面钻孔岩性测试结果为数据基础，对覆岩关键层进行判别，钻孔位置及柱状图</w:t>
      </w:r>
      <w:r>
        <w:rPr>
          <w:rFonts w:hint="eastAsia" w:ascii="宋体" w:hAnsi="宋体" w:cstheme="minorEastAsia"/>
          <w:color w:val="auto"/>
          <w:kern w:val="2"/>
          <w:sz w:val="24"/>
          <w:szCs w:val="24"/>
          <w:lang w:val="en-US" w:eastAsia="zh-CN" w:bidi="ar-SA"/>
        </w:rPr>
        <w:t>（见</w:t>
      </w:r>
      <w:r>
        <w:rPr>
          <w:rFonts w:hint="eastAsia" w:ascii="宋体" w:hAnsi="宋体" w:eastAsia="宋体" w:cstheme="minorEastAsia"/>
          <w:color w:val="auto"/>
          <w:kern w:val="2"/>
          <w:sz w:val="24"/>
          <w:szCs w:val="24"/>
          <w:lang w:val="en-US" w:eastAsia="zh-CN" w:bidi="ar-SA"/>
        </w:rPr>
        <w:t>图2-</w:t>
      </w:r>
      <w:r>
        <w:rPr>
          <w:rFonts w:hint="eastAsia" w:ascii="宋体" w:hAnsi="宋体" w:cstheme="minorEastAsia"/>
          <w:color w:val="auto"/>
          <w:kern w:val="2"/>
          <w:sz w:val="24"/>
          <w:szCs w:val="24"/>
          <w:lang w:val="en-US" w:eastAsia="zh-CN" w:bidi="ar-SA"/>
        </w:rPr>
        <w:t>1-5）</w:t>
      </w:r>
      <w:r>
        <w:rPr>
          <w:rFonts w:hint="eastAsia" w:ascii="宋体" w:hAnsi="宋体" w:eastAsia="宋体" w:cstheme="minorEastAsia"/>
          <w:color w:val="auto"/>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宋体" w:hAnsi="宋体" w:eastAsia="宋体" w:cstheme="minorEastAsia"/>
          <w:color w:val="auto"/>
          <w:kern w:val="2"/>
          <w:sz w:val="24"/>
          <w:szCs w:val="24"/>
          <w:lang w:val="en-US" w:eastAsia="zh-CN" w:bidi="ar-SA"/>
        </w:rPr>
      </w:pPr>
      <w:r>
        <w:rPr>
          <w:color w:val="auto"/>
        </w:rPr>
        <w:drawing>
          <wp:anchor distT="0" distB="0" distL="0" distR="0" simplePos="0" relativeHeight="251664384" behindDoc="0" locked="0" layoutInCell="1" allowOverlap="1">
            <wp:simplePos x="0" y="0"/>
            <wp:positionH relativeFrom="column">
              <wp:posOffset>606425</wp:posOffset>
            </wp:positionH>
            <wp:positionV relativeFrom="paragraph">
              <wp:posOffset>205740</wp:posOffset>
            </wp:positionV>
            <wp:extent cx="4236720" cy="2063115"/>
            <wp:effectExtent l="9525" t="9525" r="20955" b="22860"/>
            <wp:wrapNone/>
            <wp:docPr id="19680883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088341" name="图片 7"/>
                    <pic:cNvPicPr>
                      <a:picLocks noChangeAspect="1"/>
                    </pic:cNvPicPr>
                  </pic:nvPicPr>
                  <pic:blipFill>
                    <a:blip r:embed="rId39"/>
                    <a:stretch>
                      <a:fillRect/>
                    </a:stretch>
                  </pic:blipFill>
                  <pic:spPr>
                    <a:xfrm>
                      <a:off x="0" y="0"/>
                      <a:ext cx="4236720" cy="2063115"/>
                    </a:xfrm>
                    <a:prstGeom prst="rect">
                      <a:avLst/>
                    </a:prstGeom>
                    <a:ln>
                      <a:solidFill>
                        <a:schemeClr val="tx1"/>
                      </a:solid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p>
    <w:p>
      <w:pPr>
        <w:pStyle w:val="24"/>
        <w:rPr>
          <w:rFonts w:hint="eastAsia" w:ascii="宋体" w:hAnsi="宋体" w:eastAsia="宋体" w:cstheme="minorEastAsia"/>
          <w:color w:val="auto"/>
          <w:kern w:val="2"/>
          <w:sz w:val="24"/>
          <w:szCs w:val="24"/>
          <w:lang w:val="en-US" w:eastAsia="zh-CN" w:bidi="ar-SA"/>
        </w:rPr>
      </w:pPr>
    </w:p>
    <w:p>
      <w:pPr>
        <w:pStyle w:val="24"/>
        <w:rPr>
          <w:rFonts w:hint="eastAsia" w:ascii="宋体" w:hAnsi="宋体" w:eastAsia="宋体" w:cstheme="minorEastAsia"/>
          <w:color w:val="auto"/>
          <w:kern w:val="2"/>
          <w:sz w:val="24"/>
          <w:szCs w:val="24"/>
          <w:lang w:val="en-US" w:eastAsia="zh-CN" w:bidi="ar-SA"/>
        </w:rPr>
      </w:pPr>
    </w:p>
    <w:p>
      <w:pPr>
        <w:pStyle w:val="24"/>
        <w:rPr>
          <w:rFonts w:hint="eastAsia" w:ascii="宋体" w:hAnsi="宋体" w:eastAsia="宋体" w:cstheme="minorEastAsia"/>
          <w:color w:val="auto"/>
          <w:kern w:val="2"/>
          <w:sz w:val="24"/>
          <w:szCs w:val="24"/>
          <w:lang w:val="en-US" w:eastAsia="zh-CN" w:bidi="ar-SA"/>
        </w:rPr>
      </w:pPr>
    </w:p>
    <w:p>
      <w:pPr>
        <w:pStyle w:val="58"/>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楷体_GB2312" w:hAnsi="楷体_GB2312" w:eastAsia="楷体_GB2312" w:cs="楷体_GB2312"/>
          <w:color w:val="auto"/>
          <w:sz w:val="24"/>
          <w:szCs w:val="24"/>
        </w:rPr>
      </w:pPr>
      <w:r>
        <w:rPr>
          <w:color w:val="auto"/>
          <w14:ligatures w14:val="none"/>
        </w:rPr>
        <w:drawing>
          <wp:anchor distT="0" distB="0" distL="0" distR="0" simplePos="0" relativeHeight="251665408" behindDoc="0" locked="0" layoutInCell="1" allowOverlap="1">
            <wp:simplePos x="0" y="0"/>
            <wp:positionH relativeFrom="column">
              <wp:posOffset>975360</wp:posOffset>
            </wp:positionH>
            <wp:positionV relativeFrom="paragraph">
              <wp:posOffset>342900</wp:posOffset>
            </wp:positionV>
            <wp:extent cx="3805555" cy="5565140"/>
            <wp:effectExtent l="0" t="0" r="4445" b="16510"/>
            <wp:wrapNone/>
            <wp:docPr id="450338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38204" name="图片 1"/>
                    <pic:cNvPicPr>
                      <a:picLocks noChangeAspect="1"/>
                    </pic:cNvPicPr>
                  </pic:nvPicPr>
                  <pic:blipFill>
                    <a:blip r:embed="rId40"/>
                    <a:stretch>
                      <a:fillRect/>
                    </a:stretch>
                  </pic:blipFill>
                  <pic:spPr>
                    <a:xfrm>
                      <a:off x="0" y="0"/>
                      <a:ext cx="3805555" cy="5565140"/>
                    </a:xfrm>
                    <a:prstGeom prst="rect">
                      <a:avLst/>
                    </a:prstGeom>
                  </pic:spPr>
                </pic:pic>
              </a:graphicData>
            </a:graphic>
          </wp:anchor>
        </w:drawing>
      </w:r>
      <w:r>
        <w:rPr>
          <w:rFonts w:hint="eastAsia" w:ascii="楷体_GB2312" w:hAnsi="楷体_GB2312" w:eastAsia="楷体_GB2312" w:cs="楷体_GB2312"/>
          <w:color w:val="auto"/>
          <w:sz w:val="24"/>
          <w:szCs w:val="24"/>
        </w:rPr>
        <w:t>（a）钻孔位置</w:t>
      </w: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rPr>
          <w:rFonts w:hint="eastAsia"/>
          <w:color w:val="auto"/>
        </w:rPr>
      </w:pPr>
    </w:p>
    <w:p>
      <w:pPr>
        <w:pStyle w:val="58"/>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（b）钻孔柱状</w:t>
      </w:r>
    </w:p>
    <w:p>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图2-1-5  南103</w:t>
      </w:r>
      <w:r>
        <w:rPr>
          <w:rFonts w:hint="eastAsia" w:ascii="楷体_GB2312" w:hAnsi="楷体_GB2312" w:eastAsia="楷体_GB2312" w:cs="楷体_GB2312"/>
          <w:color w:val="auto"/>
          <w:kern w:val="2"/>
          <w:sz w:val="24"/>
          <w:szCs w:val="24"/>
          <w:vertAlign w:val="superscript"/>
          <w:lang w:val="en-US" w:eastAsia="zh-CN" w:bidi="ar-SA"/>
          <w14:ligatures w14:val="standardContextual"/>
        </w:rPr>
        <w:t>-1</w:t>
      </w:r>
      <w:r>
        <w:rPr>
          <w:rFonts w:hint="eastAsia" w:ascii="楷体_GB2312" w:hAnsi="楷体_GB2312" w:eastAsia="楷体_GB2312" w:cs="楷体_GB2312"/>
          <w:color w:val="auto"/>
          <w:kern w:val="2"/>
          <w:sz w:val="24"/>
          <w:szCs w:val="24"/>
          <w:lang w:val="en-US" w:eastAsia="zh-CN" w:bidi="ar-SA"/>
          <w14:ligatures w14:val="standardContextual"/>
        </w:rPr>
        <w:t>工作面厚硬岩层钻孔位置及柱状图</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cstheme="minorEastAsia"/>
          <w:color w:val="auto"/>
          <w:kern w:val="2"/>
          <w:sz w:val="24"/>
          <w:szCs w:val="24"/>
          <w:lang w:val="en-US" w:eastAsia="zh-CN" w:bidi="ar-SA"/>
        </w:rPr>
        <w:t>2.</w:t>
      </w:r>
      <w:r>
        <w:rPr>
          <w:rFonts w:hint="eastAsia" w:ascii="宋体" w:hAnsi="宋体" w:eastAsia="宋体" w:cstheme="minorEastAsia"/>
          <w:color w:val="auto"/>
          <w:kern w:val="2"/>
          <w:sz w:val="24"/>
          <w:szCs w:val="24"/>
          <w:lang w:val="en-US" w:eastAsia="zh-CN" w:bidi="ar-SA"/>
        </w:rPr>
        <w:t>覆岩厚硬岩层分布</w:t>
      </w:r>
    </w:p>
    <w:p>
      <w:pPr>
        <w:pStyle w:val="57"/>
        <w:keepNext w:val="0"/>
        <w:keepLines w:val="0"/>
        <w:pageBreakBefore w:val="0"/>
        <w:widowControl w:val="0"/>
        <w:kinsoku/>
        <w:wordWrap/>
        <w:overflowPunct/>
        <w:topLinePunct w:val="0"/>
        <w:autoSpaceDE/>
        <w:autoSpaceDN/>
        <w:bidi w:val="0"/>
        <w:adjustRightInd/>
        <w:snapToGrid/>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 xml:space="preserve">覆岩中厚硬岩层是指直接顶以上厚度大、强度高的岩层，覆岩中往往含有多层厚硬岩层，可以根据组合梁理论确定覆岩中坚硬岩层位置； </w:t>
      </w:r>
    </w:p>
    <w:p>
      <w:pPr>
        <w:spacing w:line="360" w:lineRule="auto"/>
        <w:ind w:firstLine="480" w:firstLineChars="200"/>
        <w:jc w:val="center"/>
        <w:rPr>
          <w:rFonts w:ascii="Times New Roman" w:hAnsi="Times New Roman" w:eastAsia="宋体" w:cs="Times New Roman"/>
          <w:color w:val="auto"/>
          <w:sz w:val="24"/>
          <w:szCs w:val="22"/>
          <w14:ligatures w14:val="standardContextual"/>
        </w:rPr>
      </w:pPr>
      <w:r>
        <w:rPr>
          <w:rFonts w:ascii="Times New Roman" w:hAnsi="Times New Roman" w:eastAsia="宋体" w:cs="Times New Roman"/>
          <w:color w:val="auto"/>
          <w:position w:val="-28"/>
          <w:sz w:val="24"/>
          <w:szCs w:val="22"/>
          <w14:ligatures w14:val="standardContextual"/>
        </w:rPr>
        <w:object>
          <v:shape id="_x0000_i1034" o:spt="75" type="#_x0000_t75" style="height:32.8pt;width:147.15pt;" o:ole="t" filled="f" o:preferrelative="t" stroked="f" coordsize="21600,21600">
            <v:path/>
            <v:fill on="f" focussize="0,0"/>
            <v:stroke on="f" joinstyle="miter"/>
            <v:imagedata r:id="rId22" o:title=""/>
            <o:lock v:ext="edit" aspectratio="t"/>
            <w10:wrap type="none"/>
            <w10:anchorlock/>
          </v:shape>
          <o:OLEObject Type="Embed" ProgID="Equation.DSMT4" ShapeID="_x0000_i1034" DrawAspect="Content" ObjectID="_1468075734" r:id="rId41">
            <o:LockedField>false</o:LockedField>
          </o:OLEObject>
        </w:object>
      </w:r>
    </w:p>
    <w:p>
      <w:pPr>
        <w:pStyle w:val="57"/>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color w:val="auto"/>
          <w:lang w:val="en-US" w:eastAsia="zh-CN"/>
        </w:rPr>
      </w:pPr>
      <w:r>
        <w:rPr>
          <w:rFonts w:hint="eastAsia"/>
          <w:color w:val="auto"/>
          <w:lang w:val="en-US" w:eastAsia="zh-CN"/>
        </w:rPr>
        <w:t>式中  E</w:t>
      </w:r>
      <w:r>
        <w:rPr>
          <w:rFonts w:hint="eastAsia"/>
          <w:color w:val="auto"/>
          <w:vertAlign w:val="subscript"/>
          <w:lang w:val="en-US" w:eastAsia="zh-CN"/>
        </w:rPr>
        <w:t>i</w:t>
      </w:r>
      <w:r>
        <w:rPr>
          <w:rFonts w:hint="eastAsia"/>
          <w:color w:val="auto"/>
          <w:lang w:val="en-US" w:eastAsia="zh-CN"/>
        </w:rPr>
        <w:t>—</w:t>
      </w:r>
      <w:r>
        <w:rPr>
          <w:rFonts w:hint="eastAsia"/>
          <w:color w:val="auto"/>
        </w:rPr>
        <w:t>第i层岩层的弹性模量</w:t>
      </w:r>
      <w:r>
        <w:rPr>
          <w:rFonts w:hint="eastAsia"/>
          <w:color w:val="auto"/>
          <w:lang w:eastAsia="zh-CN"/>
        </w:rPr>
        <w:t>，</w:t>
      </w:r>
      <w:r>
        <w:rPr>
          <w:rFonts w:hint="eastAsia"/>
          <w:color w:val="auto"/>
          <w:lang w:val="en-US" w:eastAsia="zh-CN"/>
        </w:rPr>
        <w:t>单位：GPa；</w:t>
      </w:r>
    </w:p>
    <w:p>
      <w:pPr>
        <w:pStyle w:val="57"/>
        <w:keepNext w:val="0"/>
        <w:keepLines w:val="0"/>
        <w:pageBreakBefore w:val="0"/>
        <w:widowControl w:val="0"/>
        <w:kinsoku/>
        <w:wordWrap/>
        <w:overflowPunct/>
        <w:topLinePunct w:val="0"/>
        <w:autoSpaceDE/>
        <w:autoSpaceDN/>
        <w:bidi w:val="0"/>
        <w:adjustRightInd/>
        <w:snapToGrid/>
        <w:ind w:firstLine="720" w:firstLineChars="300"/>
        <w:textAlignment w:val="auto"/>
        <w:rPr>
          <w:rFonts w:hint="eastAsia"/>
          <w:color w:val="auto"/>
          <w:lang w:eastAsia="zh-CN"/>
        </w:rPr>
      </w:pPr>
      <w:r>
        <w:rPr>
          <w:rFonts w:hint="eastAsia"/>
          <w:color w:val="auto"/>
          <w:lang w:val="en-US" w:eastAsia="zh-CN"/>
        </w:rPr>
        <w:t>h</w:t>
      </w:r>
      <w:r>
        <w:rPr>
          <w:rFonts w:hint="eastAsia"/>
          <w:color w:val="auto"/>
          <w:vertAlign w:val="subscript"/>
          <w:lang w:val="en-US" w:eastAsia="zh-CN"/>
        </w:rPr>
        <w:t>i</w:t>
      </w:r>
      <w:r>
        <w:rPr>
          <w:rFonts w:hint="eastAsia"/>
          <w:color w:val="auto"/>
          <w:lang w:val="en-US" w:eastAsia="zh-CN"/>
        </w:rPr>
        <w:t>—</w:t>
      </w:r>
      <w:r>
        <w:rPr>
          <w:rFonts w:hint="eastAsia"/>
          <w:color w:val="auto"/>
        </w:rPr>
        <w:t>第i层岩层的厚度，表示岩层在垂直方向上的尺寸</w:t>
      </w:r>
      <w:r>
        <w:rPr>
          <w:rFonts w:hint="eastAsia"/>
          <w:color w:val="auto"/>
          <w:lang w:eastAsia="zh-CN"/>
        </w:rPr>
        <w:t>，</w:t>
      </w:r>
      <w:r>
        <w:rPr>
          <w:rFonts w:hint="eastAsia"/>
          <w:color w:val="auto"/>
        </w:rPr>
        <w:t>单位：m</w:t>
      </w:r>
      <w:r>
        <w:rPr>
          <w:rFonts w:hint="eastAsia"/>
          <w:color w:val="auto"/>
          <w:lang w:eastAsia="zh-CN"/>
        </w:rPr>
        <w:t>；</w:t>
      </w:r>
    </w:p>
    <w:p>
      <w:pPr>
        <w:pStyle w:val="57"/>
        <w:keepNext w:val="0"/>
        <w:keepLines w:val="0"/>
        <w:pageBreakBefore w:val="0"/>
        <w:widowControl w:val="0"/>
        <w:kinsoku/>
        <w:wordWrap/>
        <w:overflowPunct/>
        <w:topLinePunct w:val="0"/>
        <w:autoSpaceDE/>
        <w:autoSpaceDN/>
        <w:bidi w:val="0"/>
        <w:adjustRightInd/>
        <w:snapToGrid/>
        <w:ind w:firstLine="720" w:firstLineChars="300"/>
        <w:textAlignment w:val="auto"/>
        <w:rPr>
          <w:rFonts w:hint="eastAsia"/>
          <w:color w:val="auto"/>
          <w:lang w:val="en-US" w:eastAsia="zh-CN"/>
        </w:rPr>
      </w:pPr>
      <w:r>
        <w:rPr>
          <w:rFonts w:hint="eastAsia"/>
          <w:color w:val="auto"/>
          <w:lang w:val="en-US" w:eastAsia="zh-CN"/>
        </w:rPr>
        <w:t>γ</w:t>
      </w:r>
      <w:r>
        <w:rPr>
          <w:rFonts w:hint="eastAsia"/>
          <w:color w:val="auto"/>
          <w:vertAlign w:val="subscript"/>
          <w:lang w:val="en-US" w:eastAsia="zh-CN"/>
        </w:rPr>
        <w:t>i</w:t>
      </w:r>
      <w:r>
        <w:rPr>
          <w:rFonts w:hint="eastAsia"/>
          <w:color w:val="auto"/>
          <w:lang w:val="en-US" w:eastAsia="zh-CN"/>
        </w:rPr>
        <w:t>—</w:t>
      </w:r>
      <w:r>
        <w:rPr>
          <w:rFonts w:hint="eastAsia"/>
          <w:color w:val="auto"/>
        </w:rPr>
        <w:t>第i层岩层的容重</w:t>
      </w:r>
      <w:r>
        <w:rPr>
          <w:rFonts w:hint="eastAsia"/>
          <w:color w:val="auto"/>
          <w:lang w:eastAsia="zh-CN"/>
        </w:rPr>
        <w:t>，</w:t>
      </w:r>
      <w:r>
        <w:rPr>
          <w:rFonts w:hint="eastAsia"/>
          <w:color w:val="auto"/>
        </w:rPr>
        <w:t>单位：</w:t>
      </w:r>
      <w:r>
        <w:rPr>
          <w:rFonts w:hint="eastAsia"/>
          <w:color w:val="auto"/>
          <w:lang w:val="en-US" w:eastAsia="zh-CN"/>
        </w:rPr>
        <w:t>k</w:t>
      </w:r>
      <w:r>
        <w:rPr>
          <w:rFonts w:hint="eastAsia"/>
          <w:color w:val="auto"/>
        </w:rPr>
        <w:t>N/m</w:t>
      </w:r>
      <w:r>
        <w:rPr>
          <w:rFonts w:hint="eastAsia"/>
          <w:color w:val="auto"/>
          <w:vertAlign w:val="superscript"/>
          <w:lang w:val="en-US" w:eastAsia="zh-CN"/>
        </w:rPr>
        <w:t>3</w:t>
      </w:r>
      <w:r>
        <w:rPr>
          <w:rFonts w:hint="eastAsia"/>
          <w:color w:val="auto"/>
          <w:lang w:eastAsia="zh-CN"/>
        </w:rPr>
        <w:t>。</w:t>
      </w:r>
    </w:p>
    <w:p>
      <w:pPr>
        <w:pStyle w:val="57"/>
        <w:keepNext w:val="0"/>
        <w:keepLines w:val="0"/>
        <w:pageBreakBefore w:val="0"/>
        <w:widowControl w:val="0"/>
        <w:kinsoku/>
        <w:wordWrap/>
        <w:overflowPunct/>
        <w:topLinePunct w:val="0"/>
        <w:autoSpaceDE/>
        <w:autoSpaceDN/>
        <w:bidi w:val="0"/>
        <w:adjustRightInd/>
        <w:snapToGrid/>
        <w:textAlignment w:val="auto"/>
        <w:rPr>
          <w:color w:val="auto"/>
        </w:rPr>
      </w:pPr>
      <w:r>
        <w:rPr>
          <w:rFonts w:hint="eastAsia"/>
          <w:color w:val="auto"/>
        </w:rPr>
        <w:t>若</w:t>
      </w:r>
      <w:r>
        <w:rPr>
          <w:rFonts w:hint="eastAsia"/>
          <w:color w:val="auto"/>
          <w:lang w:val="en-US" w:eastAsia="zh-CN"/>
        </w:rPr>
        <w:t>上式</w:t>
      </w:r>
      <w:r>
        <w:rPr>
          <w:rFonts w:hint="eastAsia"/>
          <w:color w:val="auto"/>
        </w:rPr>
        <w:t>成立，则说明该岩层为厚硬岩层，接着计算下一层，以此类推到最后一层硬岩。为了便于计算，对覆岩进行简化，将层厚为1m的岩层进行合并处理，经过计算得到该钻</w:t>
      </w:r>
      <w:r>
        <w:rPr>
          <w:rFonts w:hint="eastAsia"/>
          <w:color w:val="auto"/>
          <w:lang w:val="en-US" w:eastAsia="zh-CN"/>
        </w:rPr>
        <w:t>孔</w:t>
      </w:r>
      <w:r>
        <w:rPr>
          <w:rFonts w:hint="eastAsia"/>
          <w:color w:val="auto"/>
        </w:rPr>
        <w:t>下</w:t>
      </w:r>
      <w:r>
        <w:rPr>
          <w:rFonts w:hint="eastAsia"/>
          <w:color w:val="auto"/>
          <w:lang w:val="en-US" w:eastAsia="zh-CN"/>
        </w:rPr>
        <w:t>南</w:t>
      </w:r>
      <w:r>
        <w:rPr>
          <w:rFonts w:hint="eastAsia"/>
          <w:color w:val="auto"/>
        </w:rPr>
        <w:t>10</w:t>
      </w:r>
      <w:r>
        <w:rPr>
          <w:rFonts w:hint="eastAsia"/>
          <w:color w:val="auto"/>
          <w:lang w:val="en-US" w:eastAsia="zh-CN"/>
        </w:rPr>
        <w:t>3</w:t>
      </w:r>
      <w:r>
        <w:rPr>
          <w:rFonts w:hint="eastAsia"/>
          <w:color w:val="auto"/>
          <w:vertAlign w:val="superscript"/>
          <w:lang w:val="en-US" w:eastAsia="zh-CN"/>
        </w:rPr>
        <w:t>-1</w:t>
      </w:r>
      <w:r>
        <w:rPr>
          <w:rFonts w:hint="eastAsia"/>
          <w:color w:val="auto"/>
        </w:rPr>
        <w:t>工作面煤层上方厚硬岩层分布，具体见表2-</w:t>
      </w:r>
      <w:r>
        <w:rPr>
          <w:rFonts w:hint="eastAsia"/>
          <w:color w:val="auto"/>
          <w:lang w:val="en-US" w:eastAsia="zh-CN"/>
        </w:rPr>
        <w:t>1-3</w:t>
      </w:r>
      <w:r>
        <w:rPr>
          <w:rFonts w:hint="eastAsia"/>
          <w:color w:val="auto"/>
          <w:lang w:eastAsia="zh-CN"/>
        </w:rPr>
        <w:t>，</w:t>
      </w:r>
      <w:r>
        <w:rPr>
          <w:rFonts w:hint="eastAsia"/>
          <w:color w:val="auto"/>
          <w:lang w:val="en-US" w:eastAsia="zh-CN"/>
        </w:rPr>
        <w:t>表中橙色部分表示</w:t>
      </w:r>
      <w:r>
        <w:rPr>
          <w:rFonts w:hint="eastAsia"/>
          <w:color w:val="auto"/>
        </w:rPr>
        <w:t>厚硬岩层</w:t>
      </w:r>
      <w:r>
        <w:rPr>
          <w:rFonts w:hint="eastAsia"/>
          <w:color w:val="auto"/>
          <w:lang w:eastAsia="zh-CN"/>
        </w:rPr>
        <w:t>，</w:t>
      </w:r>
      <w:r>
        <w:rPr>
          <w:rFonts w:hint="eastAsia"/>
          <w:color w:val="auto"/>
          <w:lang w:val="en-US" w:eastAsia="zh-CN"/>
        </w:rPr>
        <w:t>黑色部分表示煤层。</w:t>
      </w:r>
    </w:p>
    <w:p>
      <w:pPr>
        <w:pStyle w:val="57"/>
        <w:bidi w:val="0"/>
        <w:ind w:left="0" w:leftChars="0" w:firstLine="0" w:firstLineChars="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表2-1-3                   南103</w:t>
      </w:r>
      <w:r>
        <w:rPr>
          <w:rFonts w:hint="eastAsia" w:ascii="楷体_GB2312" w:hAnsi="楷体_GB2312" w:eastAsia="楷体_GB2312" w:cs="楷体_GB2312"/>
          <w:color w:val="auto"/>
          <w:vertAlign w:val="superscript"/>
          <w:lang w:val="en-US" w:eastAsia="zh-CN"/>
        </w:rPr>
        <w:t>-1</w:t>
      </w:r>
      <w:r>
        <w:rPr>
          <w:rFonts w:hint="eastAsia" w:ascii="楷体_GB2312" w:hAnsi="楷体_GB2312" w:eastAsia="楷体_GB2312" w:cs="楷体_GB2312"/>
          <w:color w:val="auto"/>
          <w:lang w:val="en-US" w:eastAsia="zh-CN"/>
        </w:rPr>
        <w:t>工作面覆岩覆岩厚硬岩层分布表</w:t>
      </w:r>
    </w:p>
    <w:tbl>
      <w:tblPr>
        <w:tblStyle w:val="25"/>
        <w:tblW w:w="4998" w:type="pct"/>
        <w:jc w:val="center"/>
        <w:tblLayout w:type="autofit"/>
        <w:tblCellMar>
          <w:top w:w="0" w:type="dxa"/>
          <w:left w:w="108" w:type="dxa"/>
          <w:bottom w:w="0" w:type="dxa"/>
          <w:right w:w="108" w:type="dxa"/>
        </w:tblCellMar>
      </w:tblPr>
      <w:tblGrid>
        <w:gridCol w:w="2437"/>
        <w:gridCol w:w="1681"/>
        <w:gridCol w:w="2913"/>
        <w:gridCol w:w="2253"/>
      </w:tblGrid>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岩</w:t>
            </w:r>
            <w:r>
              <w:rPr>
                <w:rFonts w:hint="eastAsia" w:ascii="楷体_GB2312" w:hAnsi="楷体_GB2312" w:eastAsia="楷体_GB2312" w:cs="楷体_GB2312"/>
                <w:color w:val="auto"/>
                <w:kern w:val="0"/>
                <w:sz w:val="21"/>
                <w:szCs w:val="21"/>
                <w:lang w:val="en-US" w:eastAsia="zh-CN"/>
                <w14:ligatures w14:val="none"/>
              </w:rPr>
              <w:t xml:space="preserve">    </w:t>
            </w:r>
            <w:r>
              <w:rPr>
                <w:rFonts w:hint="eastAsia" w:ascii="楷体_GB2312" w:hAnsi="楷体_GB2312" w:eastAsia="楷体_GB2312" w:cs="楷体_GB2312"/>
                <w:color w:val="auto"/>
                <w:kern w:val="0"/>
                <w:sz w:val="21"/>
                <w:szCs w:val="21"/>
                <w14:ligatures w14:val="none"/>
              </w:rPr>
              <w:t>性</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lang w:eastAsia="zh-CN"/>
                <w14:ligatures w14:val="none"/>
              </w:rPr>
            </w:pPr>
            <w:r>
              <w:rPr>
                <w:rFonts w:hint="eastAsia" w:ascii="楷体_GB2312" w:hAnsi="楷体_GB2312" w:eastAsia="楷体_GB2312" w:cs="楷体_GB2312"/>
                <w:color w:val="auto"/>
                <w:kern w:val="0"/>
                <w:sz w:val="21"/>
                <w:szCs w:val="21"/>
                <w14:ligatures w14:val="none"/>
              </w:rPr>
              <w:t>层</w:t>
            </w:r>
            <w:r>
              <w:rPr>
                <w:rFonts w:hint="eastAsia" w:ascii="楷体_GB2312" w:hAnsi="楷体_GB2312" w:eastAsia="楷体_GB2312" w:cs="楷体_GB2312"/>
                <w:color w:val="auto"/>
                <w:kern w:val="0"/>
                <w:sz w:val="21"/>
                <w:szCs w:val="21"/>
                <w:lang w:val="en-US" w:eastAsia="zh-CN"/>
                <w14:ligatures w14:val="none"/>
              </w:rPr>
              <w:t xml:space="preserve">  </w:t>
            </w:r>
            <w:r>
              <w:rPr>
                <w:rFonts w:hint="eastAsia" w:ascii="楷体_GB2312" w:hAnsi="楷体_GB2312" w:eastAsia="楷体_GB2312" w:cs="楷体_GB2312"/>
                <w:color w:val="auto"/>
                <w:kern w:val="0"/>
                <w:sz w:val="21"/>
                <w:szCs w:val="21"/>
                <w14:ligatures w14:val="none"/>
              </w:rPr>
              <w:t>厚</w:t>
            </w:r>
            <w:r>
              <w:rPr>
                <w:rFonts w:hint="eastAsia" w:ascii="楷体_GB2312" w:hAnsi="楷体_GB2312" w:eastAsia="楷体_GB2312" w:cs="楷体_GB2312"/>
                <w:color w:val="auto"/>
                <w:kern w:val="0"/>
                <w:sz w:val="21"/>
                <w:szCs w:val="21"/>
                <w:lang w:eastAsia="zh-CN"/>
                <w14:ligatures w14:val="none"/>
              </w:rPr>
              <w:t>（</w:t>
            </w:r>
            <w:r>
              <w:rPr>
                <w:rFonts w:hint="eastAsia" w:ascii="楷体_GB2312" w:hAnsi="楷体_GB2312" w:eastAsia="楷体_GB2312" w:cs="楷体_GB2312"/>
                <w:color w:val="auto"/>
                <w:kern w:val="0"/>
                <w:sz w:val="21"/>
                <w:szCs w:val="21"/>
                <w:lang w:val="en-US" w:eastAsia="zh-CN"/>
                <w14:ligatures w14:val="none"/>
              </w:rPr>
              <w:t>m</w:t>
            </w:r>
            <w:r>
              <w:rPr>
                <w:rFonts w:hint="eastAsia" w:ascii="楷体_GB2312" w:hAnsi="楷体_GB2312" w:eastAsia="楷体_GB2312" w:cs="楷体_GB2312"/>
                <w:color w:val="auto"/>
                <w:kern w:val="0"/>
                <w:sz w:val="21"/>
                <w:szCs w:val="21"/>
                <w:lang w:eastAsia="zh-CN"/>
                <w14:ligatures w14:val="none"/>
              </w:rPr>
              <w:t>）</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与煤层垂距（m）</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厚硬岩层</w:t>
            </w: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粗砂岩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95</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93</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粗砂岩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6</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87</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85</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432"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8</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77</w:t>
            </w:r>
          </w:p>
        </w:tc>
        <w:tc>
          <w:tcPr>
            <w:tcW w:w="1213"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泥岩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75</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72</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泥岩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65</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62</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53</w:t>
            </w:r>
          </w:p>
        </w:tc>
        <w:tc>
          <w:tcPr>
            <w:tcW w:w="1213"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905" w:type="pct"/>
            <w:tcBorders>
              <w:top w:val="single" w:color="000000" w:sz="4" w:space="0"/>
              <w:left w:val="single" w:color="000000" w:sz="4" w:space="0"/>
              <w:right w:val="single" w:color="000000" w:sz="4" w:space="0"/>
            </w:tcBorders>
            <w:noWrap/>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w:t>
            </w:r>
          </w:p>
        </w:tc>
        <w:tc>
          <w:tcPr>
            <w:tcW w:w="1568" w:type="pct"/>
            <w:tcBorders>
              <w:top w:val="single" w:color="000000" w:sz="4" w:space="0"/>
              <w:left w:val="single" w:color="000000" w:sz="4" w:space="0"/>
              <w:right w:val="single" w:color="000000" w:sz="4" w:space="0"/>
            </w:tcBorders>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49</w:t>
            </w:r>
          </w:p>
        </w:tc>
        <w:tc>
          <w:tcPr>
            <w:tcW w:w="1213" w:type="pct"/>
            <w:tcBorders>
              <w:top w:val="single" w:color="000000" w:sz="4" w:space="0"/>
              <w:left w:val="nil"/>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47</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泥岩</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44</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粉砂岩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39</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泥岩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37</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粉砂岩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35</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砂质泥岩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32</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泥岩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27</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粗砂岩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18</w:t>
            </w:r>
          </w:p>
        </w:tc>
        <w:tc>
          <w:tcPr>
            <w:tcW w:w="1213"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灰岩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15</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粗砂岩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13</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灰岩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11</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细砂岩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粗砂岩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w:t>
            </w:r>
          </w:p>
        </w:tc>
        <w:tc>
          <w:tcPr>
            <w:tcW w:w="1213"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细砂岩 </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w:t>
            </w:r>
          </w:p>
        </w:tc>
        <w:tc>
          <w:tcPr>
            <w:tcW w:w="1568"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0</w:t>
            </w:r>
          </w:p>
        </w:tc>
        <w:tc>
          <w:tcPr>
            <w:tcW w:w="1213"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510" w:hRule="atLeast"/>
          <w:jc w:val="center"/>
        </w:trPr>
        <w:tc>
          <w:tcPr>
            <w:tcW w:w="1312"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煤</w:t>
            </w:r>
          </w:p>
        </w:tc>
        <w:tc>
          <w:tcPr>
            <w:tcW w:w="905"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23.69</w:t>
            </w:r>
          </w:p>
        </w:tc>
        <w:tc>
          <w:tcPr>
            <w:tcW w:w="1568" w:type="pct"/>
            <w:tcBorders>
              <w:top w:val="single" w:color="000000" w:sz="4" w:space="0"/>
              <w:left w:val="single" w:color="000000" w:sz="4" w:space="0"/>
              <w:bottom w:val="single" w:color="000000" w:sz="4" w:space="0"/>
              <w:right w:val="single" w:color="000000" w:sz="4" w:space="0"/>
            </w:tcBorders>
            <w:shd w:val="clear" w:color="auto" w:fill="000000" w:themeFill="text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1213" w:type="pct"/>
            <w:tcBorders>
              <w:top w:val="single" w:color="000000" w:sz="4" w:space="0"/>
              <w:left w:val="nil"/>
              <w:bottom w:val="single" w:color="000000" w:sz="4" w:space="0"/>
              <w:right w:val="single" w:color="auto" w:sz="4" w:space="0"/>
            </w:tcBorders>
            <w:shd w:val="clear" w:color="auto" w:fill="000000" w:themeFill="text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bl>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cstheme="minorEastAsia"/>
          <w:color w:val="auto"/>
          <w:kern w:val="2"/>
          <w:sz w:val="24"/>
          <w:szCs w:val="24"/>
          <w:lang w:val="en-US" w:eastAsia="zh-CN" w:bidi="ar-SA"/>
        </w:rPr>
        <w:t>3.</w:t>
      </w:r>
      <w:r>
        <w:rPr>
          <w:rFonts w:hint="eastAsia" w:asciiTheme="minorEastAsia" w:hAnsiTheme="minorEastAsia" w:eastAsiaTheme="minorEastAsia" w:cstheme="minorEastAsia"/>
          <w:color w:val="auto"/>
          <w:sz w:val="24"/>
          <w:szCs w:val="22"/>
          <w14:ligatures w14:val="standardContextual"/>
        </w:rPr>
        <w:t>各硬岩层载荷及破断距计算</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Theme="minorEastAsia" w:hAnsiTheme="minorEastAsia" w:eastAsiaTheme="minorEastAsia" w:cstheme="minorEastAsia"/>
          <w:color w:val="auto"/>
          <w:sz w:val="24"/>
          <w:szCs w:val="22"/>
          <w14:ligatures w14:val="standardContextual"/>
        </w:rPr>
      </w:pPr>
      <w:r>
        <w:rPr>
          <w:rFonts w:hint="eastAsia" w:asciiTheme="minorEastAsia" w:hAnsiTheme="minorEastAsia" w:eastAsiaTheme="minorEastAsia" w:cstheme="minorEastAsia"/>
          <w:color w:val="auto"/>
          <w:sz w:val="24"/>
          <w:szCs w:val="22"/>
          <w14:ligatures w14:val="standardContextual"/>
        </w:rPr>
        <w:t>计算各硬岩层的承受载荷及破断距。坚硬岩层破断是弹性基础上板的破断问题,但为了简化计算，硬岩层破断距采用两端固支梁模型计算，则第</w:t>
      </w:r>
      <w:r>
        <w:rPr>
          <w:rFonts w:hint="eastAsia" w:asciiTheme="minorEastAsia" w:hAnsiTheme="minorEastAsia" w:eastAsiaTheme="minorEastAsia" w:cstheme="minorEastAsia"/>
          <w:color w:val="auto"/>
          <w:sz w:val="24"/>
          <w:szCs w:val="22"/>
          <w:lang w:val="en-US" w:eastAsia="zh-CN"/>
          <w14:ligatures w14:val="standardContextual"/>
        </w:rPr>
        <w:t>k</w:t>
      </w:r>
      <w:r>
        <w:rPr>
          <w:rFonts w:hint="eastAsia" w:asciiTheme="minorEastAsia" w:hAnsiTheme="minorEastAsia" w:eastAsiaTheme="minorEastAsia" w:cstheme="minorEastAsia"/>
          <w:color w:val="auto"/>
          <w:sz w:val="24"/>
          <w:szCs w:val="22"/>
          <w14:ligatures w14:val="standardContextual"/>
        </w:rPr>
        <w:t>层硬岩层破断距</w:t>
      </w:r>
      <w:r>
        <w:rPr>
          <w:rFonts w:hint="eastAsia" w:asciiTheme="minorEastAsia" w:hAnsiTheme="minorEastAsia" w:eastAsiaTheme="minorEastAsia" w:cstheme="minorEastAsia"/>
          <w:color w:val="auto"/>
          <w:sz w:val="24"/>
          <w:szCs w:val="22"/>
          <w:lang w:val="en-US" w:eastAsia="zh-CN"/>
          <w14:ligatures w14:val="standardContextual"/>
        </w:rPr>
        <w:t>l</w:t>
      </w:r>
      <w:r>
        <w:rPr>
          <w:rFonts w:hint="eastAsia" w:asciiTheme="minorEastAsia" w:hAnsiTheme="minorEastAsia" w:eastAsiaTheme="minorEastAsia" w:cstheme="minorEastAsia"/>
          <w:color w:val="auto"/>
          <w:sz w:val="24"/>
          <w:szCs w:val="22"/>
          <w:vertAlign w:val="subscript"/>
          <w:lang w:val="en-US" w:eastAsia="zh-CN"/>
          <w14:ligatures w14:val="standardContextual"/>
        </w:rPr>
        <w:t>k</w:t>
      </w:r>
      <w:r>
        <w:rPr>
          <w:rFonts w:hint="eastAsia" w:asciiTheme="minorEastAsia" w:hAnsiTheme="minorEastAsia" w:eastAsiaTheme="minorEastAsia" w:cstheme="minorEastAsia"/>
          <w:color w:val="auto"/>
          <w:sz w:val="24"/>
          <w:szCs w:val="22"/>
          <w14:ligatures w14:val="standardContextual"/>
        </w:rPr>
        <w:t>下式计算:</w:t>
      </w:r>
    </w:p>
    <w:p>
      <w:pPr>
        <w:widowControl/>
        <w:spacing w:line="360" w:lineRule="auto"/>
        <w:ind w:firstLine="0" w:firstLineChars="0"/>
        <w:jc w:val="center"/>
        <w:rPr>
          <w:rFonts w:hint="eastAsia" w:asciiTheme="minorEastAsia" w:hAnsiTheme="minorEastAsia" w:eastAsiaTheme="minorEastAsia" w:cstheme="minorEastAsia"/>
          <w:b w:val="0"/>
          <w:bCs/>
          <w:color w:val="auto"/>
          <w:kern w:val="2"/>
          <w:sz w:val="24"/>
          <w:szCs w:val="22"/>
          <w:lang w:val="en-US" w:eastAsia="zh-CN" w:bidi="ar-SA"/>
          <w14:ligatures w14:val="standardContextual"/>
        </w:rPr>
      </w:pPr>
      <w:r>
        <w:rPr>
          <w:rFonts w:hint="eastAsia" w:asciiTheme="minorEastAsia" w:hAnsiTheme="minorEastAsia" w:eastAsiaTheme="minorEastAsia" w:cstheme="minorEastAsia"/>
          <w:b w:val="0"/>
          <w:bCs/>
          <w:color w:val="auto"/>
          <w:kern w:val="2"/>
          <w:position w:val="-30"/>
          <w:sz w:val="24"/>
          <w:szCs w:val="22"/>
          <w:lang w:val="en-US" w:eastAsia="zh-CN" w:bidi="ar-SA"/>
          <w14:ligatures w14:val="standardContextual"/>
        </w:rPr>
        <w:object>
          <v:shape id="_x0000_i1035" o:spt="75" type="#_x0000_t75" style="height:39.7pt;width:134.25pt;" o:ole="t" filled="f" o:preferrelative="t" stroked="f" coordsize="21600,21600">
            <v:path/>
            <v:fill on="f" focussize="0,0"/>
            <v:stroke on="f" joinstyle="miter"/>
            <v:imagedata r:id="rId24" o:title=""/>
            <o:lock v:ext="edit" aspectratio="t"/>
            <w10:wrap type="none"/>
            <w10:anchorlock/>
          </v:shape>
          <o:OLEObject Type="Embed" ProgID="Equation.DSMT4" ShapeID="_x0000_i1035" DrawAspect="Content" ObjectID="_1468075735" r:id="rId42">
            <o:LockedField>false</o:LockedField>
          </o:OLEObject>
        </w:object>
      </w:r>
    </w:p>
    <w:p>
      <w:pPr>
        <w:pStyle w:val="57"/>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rPr>
        <w:t>式中</w:t>
      </w:r>
      <w:r>
        <w:rPr>
          <w:rFonts w:hint="eastAsia" w:asciiTheme="minorEastAsia" w:hAnsiTheme="minorEastAsia" w:eastAsiaTheme="minorEastAsia" w:cstheme="minorEastAsia"/>
          <w:color w:val="auto"/>
          <w:lang w:val="en-US" w:eastAsia="zh-CN"/>
        </w:rPr>
        <w:t xml:space="preserve">  l</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val="en-US"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层硬岩层的</w:t>
      </w:r>
      <w:r>
        <w:rPr>
          <w:rFonts w:hint="eastAsia" w:asciiTheme="minorEastAsia" w:hAnsiTheme="minorEastAsia" w:eastAsiaTheme="minorEastAsia" w:cstheme="minorEastAsia"/>
          <w:color w:val="auto"/>
          <w:lang w:val="en-US" w:eastAsia="zh-CN"/>
        </w:rPr>
        <w:t>破断距，单位：m；</w:t>
      </w:r>
    </w:p>
    <w:p>
      <w:pPr>
        <w:pStyle w:val="57"/>
        <w:keepNext w:val="0"/>
        <w:keepLines w:val="0"/>
        <w:pageBreakBefore w:val="0"/>
        <w:widowControl w:val="0"/>
        <w:kinsoku/>
        <w:wordWrap/>
        <w:overflowPunct/>
        <w:topLinePunct w:val="0"/>
        <w:autoSpaceDE/>
        <w:autoSpaceDN/>
        <w:bidi w:val="0"/>
        <w:adjustRightInd/>
        <w:snapToGrid/>
        <w:spacing w:line="600" w:lineRule="exact"/>
        <w:ind w:firstLine="720" w:firstLineChars="3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h</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val="en-US"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层硬岩层的厚度，</w:t>
      </w:r>
      <w:r>
        <w:rPr>
          <w:rFonts w:hint="eastAsia" w:asciiTheme="minorEastAsia" w:hAnsiTheme="minorEastAsia" w:eastAsiaTheme="minorEastAsia" w:cstheme="minorEastAsia"/>
          <w:color w:val="auto"/>
          <w:lang w:val="en-US" w:eastAsia="zh-CN"/>
        </w:rPr>
        <w:t>单位：</w:t>
      </w:r>
      <w:r>
        <w:rPr>
          <w:rFonts w:hint="eastAsia" w:asciiTheme="minorEastAsia" w:hAnsiTheme="minorEastAsia" w:eastAsiaTheme="minorEastAsia" w:cstheme="minorEastAsia"/>
          <w:color w:val="auto"/>
        </w:rPr>
        <w:t>m；</w:t>
      </w:r>
    </w:p>
    <w:p>
      <w:pPr>
        <w:pStyle w:val="57"/>
        <w:keepNext w:val="0"/>
        <w:keepLines w:val="0"/>
        <w:pageBreakBefore w:val="0"/>
        <w:widowControl w:val="0"/>
        <w:kinsoku/>
        <w:wordWrap/>
        <w:overflowPunct/>
        <w:topLinePunct w:val="0"/>
        <w:autoSpaceDE/>
        <w:autoSpaceDN/>
        <w:bidi w:val="0"/>
        <w:adjustRightInd/>
        <w:snapToGrid/>
        <w:spacing w:line="600" w:lineRule="exact"/>
        <w:ind w:firstLine="720" w:firstLineChars="3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σ</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层硬岩层的抗拉强度，</w:t>
      </w:r>
      <w:r>
        <w:rPr>
          <w:rFonts w:hint="eastAsia" w:asciiTheme="minorEastAsia" w:hAnsiTheme="minorEastAsia" w:eastAsiaTheme="minorEastAsia" w:cstheme="minorEastAsia"/>
          <w:color w:val="auto"/>
          <w:lang w:val="en-US" w:eastAsia="zh-CN"/>
        </w:rPr>
        <w:t>单位：</w:t>
      </w:r>
      <w:r>
        <w:rPr>
          <w:rFonts w:hint="eastAsia" w:asciiTheme="minorEastAsia" w:hAnsiTheme="minorEastAsia" w:eastAsiaTheme="minorEastAsia" w:cstheme="minorEastAsia"/>
          <w:color w:val="auto"/>
        </w:rPr>
        <w:t>MPa；</w:t>
      </w:r>
    </w:p>
    <w:p>
      <w:pPr>
        <w:pStyle w:val="57"/>
        <w:keepNext w:val="0"/>
        <w:keepLines w:val="0"/>
        <w:pageBreakBefore w:val="0"/>
        <w:widowControl w:val="0"/>
        <w:kinsoku/>
        <w:wordWrap/>
        <w:overflowPunct/>
        <w:topLinePunct w:val="0"/>
        <w:autoSpaceDE/>
        <w:autoSpaceDN/>
        <w:bidi w:val="0"/>
        <w:adjustRightInd/>
        <w:snapToGrid/>
        <w:spacing w:line="600" w:lineRule="exact"/>
        <w:ind w:firstLine="720" w:firstLineChars="3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q</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层硬岩层承受的载荷，</w:t>
      </w:r>
      <w:r>
        <w:rPr>
          <w:rFonts w:hint="eastAsia" w:asciiTheme="minorEastAsia" w:hAnsiTheme="minorEastAsia" w:eastAsiaTheme="minorEastAsia" w:cstheme="minorEastAsia"/>
          <w:color w:val="auto"/>
          <w:lang w:val="en-US" w:eastAsia="zh-CN"/>
        </w:rPr>
        <w:t>单位：</w:t>
      </w:r>
      <w:r>
        <w:rPr>
          <w:rFonts w:hint="eastAsia" w:asciiTheme="minorEastAsia" w:hAnsiTheme="minorEastAsia" w:eastAsiaTheme="minorEastAsia" w:cstheme="minorEastAsia"/>
          <w:color w:val="auto"/>
        </w:rPr>
        <w:t>MPa。</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由</w:t>
      </w:r>
      <w:r>
        <w:rPr>
          <w:rFonts w:hint="eastAsia" w:asciiTheme="minorEastAsia" w:hAnsiTheme="minorEastAsia" w:eastAsiaTheme="minorEastAsia" w:cstheme="minorEastAsia"/>
          <w:color w:val="auto"/>
          <w:lang w:val="en-US" w:eastAsia="zh-CN"/>
        </w:rPr>
        <w:t>上式</w:t>
      </w:r>
      <w:r>
        <w:rPr>
          <w:rFonts w:hint="eastAsia" w:asciiTheme="minorEastAsia" w:hAnsiTheme="minorEastAsia" w:eastAsiaTheme="minorEastAsia" w:cstheme="minorEastAsia"/>
          <w:color w:val="auto"/>
        </w:rPr>
        <w:t>可知，</w:t>
      </w:r>
      <w:r>
        <w:rPr>
          <w:rFonts w:hint="eastAsia" w:asciiTheme="minorEastAsia" w:hAnsiTheme="minorEastAsia" w:eastAsiaTheme="minorEastAsia" w:cstheme="minorEastAsia"/>
          <w:color w:val="auto"/>
          <w:lang w:val="en-US" w:eastAsia="zh-CN"/>
        </w:rPr>
        <w:t>q</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rPr>
        <w:t>可按下式确定：</w:t>
      </w:r>
    </w:p>
    <w:p>
      <w:pPr>
        <w:widowControl/>
        <w:spacing w:line="360" w:lineRule="auto"/>
        <w:ind w:firstLine="0" w:firstLineChars="0"/>
        <w:jc w:val="center"/>
        <w:rPr>
          <w:rFonts w:hint="eastAsia" w:asciiTheme="minorEastAsia" w:hAnsiTheme="minorEastAsia" w:eastAsiaTheme="minorEastAsia" w:cstheme="minorEastAsia"/>
          <w:b w:val="0"/>
          <w:color w:val="auto"/>
          <w:kern w:val="2"/>
          <w:sz w:val="24"/>
          <w:szCs w:val="22"/>
          <w:lang w:val="en-US" w:eastAsia="zh-CN" w:bidi="ar-SA"/>
          <w14:ligatures w14:val="standardContextual"/>
        </w:rPr>
      </w:pPr>
      <w:r>
        <w:rPr>
          <w:rFonts w:hint="eastAsia" w:asciiTheme="minorEastAsia" w:hAnsiTheme="minorEastAsia" w:eastAsiaTheme="minorEastAsia" w:cstheme="minorEastAsia"/>
          <w:b w:val="0"/>
          <w:color w:val="auto"/>
          <w:kern w:val="2"/>
          <w:position w:val="-60"/>
          <w:sz w:val="24"/>
          <w:szCs w:val="22"/>
          <w:lang w:val="en-US" w:eastAsia="zh-CN" w:bidi="ar-SA"/>
          <w14:ligatures w14:val="standardContextual"/>
        </w:rPr>
        <w:object>
          <v:shape id="_x0000_i1036" o:spt="75" type="#_x0000_t75" style="height:65pt;width:175.95pt;" o:ole="t" filled="f" o:preferrelative="t" stroked="f" coordsize="21600,21600">
            <v:path/>
            <v:fill on="f" focussize="0,0"/>
            <v:stroke on="f" joinstyle="miter"/>
            <v:imagedata r:id="rId26" o:title=""/>
            <o:lock v:ext="edit" aspectratio="t"/>
            <w10:wrap type="none"/>
            <w10:anchorlock/>
          </v:shape>
          <o:OLEObject Type="Embed" ProgID="Equation.DSMT4" ShapeID="_x0000_i1036" DrawAspect="Content" ObjectID="_1468075736" r:id="rId43">
            <o:LockedField>false</o:LockedField>
          </o:OLEObject>
        </w:object>
      </w:r>
    </w:p>
    <w:p>
      <w:pPr>
        <w:pStyle w:val="57"/>
        <w:bidi w:val="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最上一层硬岩层即第n层硬岩层上的载荷可按下式计算：</w:t>
      </w:r>
    </w:p>
    <w:p>
      <w:pPr>
        <w:widowControl/>
        <w:spacing w:line="360" w:lineRule="auto"/>
        <w:ind w:firstLine="0" w:firstLineChars="0"/>
        <w:jc w:val="center"/>
        <w:rPr>
          <w:rFonts w:hint="eastAsia" w:asciiTheme="minorEastAsia" w:hAnsiTheme="minorEastAsia" w:eastAsiaTheme="minorEastAsia" w:cstheme="minorEastAsia"/>
          <w:b w:val="0"/>
          <w:color w:val="auto"/>
          <w:kern w:val="2"/>
          <w:sz w:val="24"/>
          <w:szCs w:val="22"/>
          <w:lang w:val="en-US" w:eastAsia="zh-CN" w:bidi="ar-SA"/>
          <w14:ligatures w14:val="standardContextual"/>
        </w:rPr>
      </w:pPr>
      <w:r>
        <w:rPr>
          <w:rFonts w:hint="eastAsia" w:asciiTheme="minorEastAsia" w:hAnsiTheme="minorEastAsia" w:eastAsiaTheme="minorEastAsia" w:cstheme="minorEastAsia"/>
          <w:b w:val="0"/>
          <w:color w:val="auto"/>
          <w:kern w:val="2"/>
          <w:position w:val="-60"/>
          <w:sz w:val="24"/>
          <w:szCs w:val="22"/>
          <w:lang w:val="en-US" w:eastAsia="zh-CN" w:bidi="ar-SA"/>
          <w14:ligatures w14:val="standardContextual"/>
        </w:rPr>
        <w:object>
          <v:shape id="_x0000_i1037" o:spt="75" type="#_x0000_t75" style="height:65pt;width:101pt;" o:ole="t" filled="f" o:preferrelative="t" stroked="f" coordsize="21600,21600">
            <v:path/>
            <v:fill on="f" focussize="0,0"/>
            <v:stroke on="f" joinstyle="miter"/>
            <v:imagedata r:id="rId28" o:title=""/>
            <o:lock v:ext="edit" aspectratio="t"/>
            <w10:wrap type="none"/>
            <w10:anchorlock/>
          </v:shape>
          <o:OLEObject Type="Embed" ProgID="Equation.DSMT4" ShapeID="_x0000_i1037" DrawAspect="Content" ObjectID="_1468075737" r:id="rId44">
            <o:LockedField>false</o:LockedField>
          </o:OLEObject>
        </w:object>
      </w:r>
      <w:r>
        <w:rPr>
          <w:rFonts w:hint="eastAsia" w:asciiTheme="minorEastAsia" w:hAnsiTheme="minorEastAsia" w:eastAsiaTheme="minorEastAsia" w:cstheme="minorEastAsia"/>
          <w:b w:val="0"/>
          <w:color w:val="auto"/>
          <w:kern w:val="2"/>
          <w:position w:val="-4"/>
          <w:sz w:val="24"/>
          <w:szCs w:val="22"/>
          <w:lang w:val="en-US" w:eastAsia="zh-CN" w:bidi="ar-SA"/>
          <w14:ligatures w14:val="standardContextual"/>
        </w:rPr>
        <w:object>
          <v:shape id="_x0000_i1038" o:spt="75" type="#_x0000_t75" style="height:13pt;width:9pt;" o:ole="t" filled="f" o:preferrelative="t" stroked="f" coordsize="21600,21600">
            <v:path/>
            <v:fill on="f" focussize="0,0"/>
            <v:stroke on="f" joinstyle="miter"/>
            <v:imagedata r:id="rId30" o:title=""/>
            <o:lock v:ext="edit" aspectratio="t"/>
            <w10:wrap type="none"/>
            <w10:anchorlock/>
          </v:shape>
          <o:OLEObject Type="Embed" ProgID="Equation.DSMT4" ShapeID="_x0000_i1038" DrawAspect="Content" ObjectID="_1468075738" r:id="rId45">
            <o:LockedField>false</o:LockedField>
          </o:OLEObject>
        </w:object>
      </w:r>
    </w:p>
    <w:p>
      <w:pPr>
        <w:pStyle w:val="57"/>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 xml:space="preserve">式中  </w:t>
      </w:r>
      <w:r>
        <w:rPr>
          <w:rFonts w:hint="eastAsia" w:asciiTheme="minorEastAsia" w:hAnsiTheme="minorEastAsia" w:eastAsiaTheme="minorEastAsia" w:cstheme="minorEastAsia"/>
          <w:color w:val="auto"/>
        </w:rPr>
        <w:t>下标</w:t>
      </w:r>
      <w:r>
        <w:rPr>
          <w:rFonts w:hint="eastAsia" w:asciiTheme="minorEastAsia" w:hAnsiTheme="minorEastAsia" w:eastAsiaTheme="minorEastAsia" w:cstheme="minorEastAsia"/>
          <w:color w:val="auto"/>
          <w:lang w:val="en-US" w:eastAsia="zh-CN"/>
        </w:rPr>
        <w:t>k表示</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下标</w:t>
      </w:r>
      <w:r>
        <w:rPr>
          <w:rFonts w:hint="eastAsia" w:asciiTheme="minorEastAsia" w:hAnsiTheme="minorEastAsia" w:eastAsiaTheme="minorEastAsia" w:cstheme="minorEastAsia"/>
          <w:color w:val="auto"/>
          <w:lang w:val="en-US" w:eastAsia="zh-CN"/>
        </w:rPr>
        <w:t>j表示</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j</w:t>
      </w:r>
      <w:r>
        <w:rPr>
          <w:rFonts w:hint="eastAsia" w:asciiTheme="minorEastAsia" w:hAnsiTheme="minorEastAsia" w:eastAsiaTheme="minorEastAsia" w:cstheme="minorEastAsia"/>
          <w:color w:val="auto"/>
        </w:rPr>
        <w:t>层硬岩层所控软岩层组的分层号</w:t>
      </w:r>
      <w:r>
        <w:rPr>
          <w:rFonts w:hint="eastAsia" w:asciiTheme="minorEastAsia" w:hAnsiTheme="minorEastAsia" w:eastAsiaTheme="minorEastAsia" w:cstheme="minorEastAsia"/>
          <w:color w:val="auto"/>
          <w:lang w:eastAsia="zh-CN"/>
        </w:rPr>
        <w:t>；</w:t>
      </w:r>
    </w:p>
    <w:p>
      <w:pPr>
        <w:pStyle w:val="57"/>
        <w:keepNext w:val="0"/>
        <w:keepLines w:val="0"/>
        <w:pageBreakBefore w:val="0"/>
        <w:widowControl w:val="0"/>
        <w:kinsoku/>
        <w:wordWrap/>
        <w:overflowPunct/>
        <w:topLinePunct w:val="0"/>
        <w:autoSpaceDE/>
        <w:autoSpaceDN/>
        <w:bidi w:val="0"/>
        <w:adjustRightInd/>
        <w:snapToGrid/>
        <w:ind w:firstLine="720" w:firstLineChars="300"/>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m</w:t>
      </w:r>
      <w:r>
        <w:rPr>
          <w:rFonts w:hint="eastAsia" w:asciiTheme="minorEastAsia" w:hAnsiTheme="minorEastAsia" w:eastAsiaTheme="minorEastAsia" w:cstheme="minorEastAsia"/>
          <w:color w:val="auto"/>
          <w:vertAlign w:val="subscript"/>
          <w:lang w:val="en-US" w:eastAsia="zh-CN"/>
        </w:rPr>
        <w:t>k</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层硬岩层所控软岩层的层数；</w:t>
      </w:r>
    </w:p>
    <w:p>
      <w:pPr>
        <w:pStyle w:val="57"/>
        <w:keepNext w:val="0"/>
        <w:keepLines w:val="0"/>
        <w:pageBreakBefore w:val="0"/>
        <w:widowControl w:val="0"/>
        <w:kinsoku/>
        <w:wordWrap/>
        <w:overflowPunct/>
        <w:topLinePunct w:val="0"/>
        <w:autoSpaceDE/>
        <w:autoSpaceDN/>
        <w:bidi w:val="0"/>
        <w:adjustRightInd/>
        <w:snapToGrid/>
        <w:ind w:firstLine="720" w:firstLineChars="300"/>
        <w:textAlignment w:val="auto"/>
        <w:rPr>
          <w:rFonts w:hint="eastAsia" w:ascii="宋体" w:hAnsi="宋体" w:eastAsia="宋体" w:cs="宋体"/>
          <w:color w:val="auto"/>
          <w:lang w:eastAsia="zh-CN"/>
        </w:rPr>
      </w:pPr>
      <w:r>
        <w:rPr>
          <w:rFonts w:hint="eastAsia" w:asciiTheme="minorEastAsia" w:hAnsiTheme="minorEastAsia" w:eastAsiaTheme="minorEastAsia" w:cstheme="minorEastAsia"/>
          <w:color w:val="auto"/>
          <w:lang w:val="en-US" w:eastAsia="zh-CN"/>
        </w:rPr>
        <w:t>E</w:t>
      </w:r>
      <w:r>
        <w:rPr>
          <w:rFonts w:hint="eastAsia" w:asciiTheme="minorEastAsia" w:hAnsiTheme="minorEastAsia" w:eastAsiaTheme="minorEastAsia" w:cstheme="minorEastAsia"/>
          <w:color w:val="auto"/>
          <w:vertAlign w:val="subscript"/>
          <w:lang w:val="en-US" w:eastAsia="zh-CN"/>
        </w:rPr>
        <w:t>k,j</w:t>
      </w:r>
      <w:r>
        <w:rPr>
          <w:rFonts w:hint="eastAsia" w:asciiTheme="minorEastAsia" w:hAnsiTheme="minorEastAsia" w:eastAsiaTheme="minorEastAsia" w:cstheme="minorEastAsia"/>
          <w:color w:val="auto"/>
        </w:rPr>
        <w:t>，</w:t>
      </w:r>
      <w:r>
        <w:rPr>
          <w:rFonts w:hint="eastAsia" w:asciiTheme="minorEastAsia" w:hAnsiTheme="minorEastAsia" w:eastAsiaTheme="minorEastAsia" w:cstheme="minorEastAsia"/>
          <w:color w:val="auto"/>
          <w:lang w:val="en-US" w:eastAsia="zh-CN"/>
        </w:rPr>
        <w:t>h</w:t>
      </w:r>
      <w:r>
        <w:rPr>
          <w:rFonts w:hint="eastAsia" w:asciiTheme="minorEastAsia" w:hAnsiTheme="minorEastAsia" w:eastAsiaTheme="minorEastAsia" w:cstheme="minorEastAsia"/>
          <w:color w:val="auto"/>
          <w:vertAlign w:val="subscript"/>
          <w:lang w:val="en-US" w:eastAsia="zh-CN"/>
        </w:rPr>
        <w:t>k,j</w:t>
      </w:r>
      <w:r>
        <w:rPr>
          <w:rFonts w:hint="eastAsia" w:asciiTheme="minorEastAsia" w:hAnsiTheme="minorEastAsia" w:eastAsiaTheme="minorEastAsia" w:cstheme="minorEastAsia"/>
          <w:color w:val="auto"/>
        </w:rPr>
        <w:t>，γ</w:t>
      </w:r>
      <w:r>
        <w:rPr>
          <w:rFonts w:hint="eastAsia" w:asciiTheme="minorEastAsia" w:hAnsiTheme="minorEastAsia" w:eastAsiaTheme="minorEastAsia" w:cstheme="minorEastAsia"/>
          <w:color w:val="auto"/>
          <w:vertAlign w:val="subscript"/>
          <w:lang w:val="en-US" w:eastAsia="zh-CN"/>
        </w:rPr>
        <w:t>k,j</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第</w:t>
      </w:r>
      <w:r>
        <w:rPr>
          <w:rFonts w:hint="eastAsia" w:asciiTheme="minorEastAsia" w:hAnsiTheme="minorEastAsia" w:eastAsiaTheme="minorEastAsia" w:cstheme="minorEastAsia"/>
          <w:color w:val="auto"/>
          <w:lang w:val="en-US" w:eastAsia="zh-CN"/>
        </w:rPr>
        <w:t>k</w:t>
      </w:r>
      <w:r>
        <w:rPr>
          <w:rFonts w:hint="eastAsia" w:asciiTheme="minorEastAsia" w:hAnsiTheme="minorEastAsia" w:eastAsiaTheme="minorEastAsia" w:cstheme="minorEastAsia"/>
          <w:color w:val="auto"/>
        </w:rPr>
        <w:t>层硬岩层所控软岩层组中第</w:t>
      </w:r>
      <w:r>
        <w:rPr>
          <w:rFonts w:hint="eastAsia" w:asciiTheme="minorEastAsia" w:hAnsiTheme="minorEastAsia" w:eastAsiaTheme="minorEastAsia" w:cstheme="minorEastAsia"/>
          <w:color w:val="auto"/>
          <w:lang w:val="en-US" w:eastAsia="zh-CN"/>
        </w:rPr>
        <w:t>j</w:t>
      </w:r>
      <w:r>
        <w:rPr>
          <w:rFonts w:hint="eastAsia" w:asciiTheme="minorEastAsia" w:hAnsiTheme="minorEastAsia" w:eastAsiaTheme="minorEastAsia" w:cstheme="minorEastAsia"/>
          <w:color w:val="auto"/>
        </w:rPr>
        <w:t>层岩层弹性模量、分层厚度及容重，单位分别为GPa，m，MN/m</w:t>
      </w:r>
      <w:r>
        <w:rPr>
          <w:rFonts w:hint="eastAsia" w:asciiTheme="minorEastAsia" w:hAnsiTheme="minorEastAsia" w:eastAsiaTheme="minorEastAsia" w:cstheme="minorEastAsia"/>
          <w:color w:val="auto"/>
          <w:vertAlign w:val="superscript"/>
        </w:rPr>
        <w:t>3</w:t>
      </w:r>
      <w:r>
        <w:rPr>
          <w:rFonts w:hint="eastAsia" w:asciiTheme="minorEastAsia" w:hAnsiTheme="minorEastAsia" w:eastAsiaTheme="minorEastAsia" w:cstheme="minorEastAsia"/>
          <w:color w:val="auto"/>
        </w:rPr>
        <w:t>。当</w:t>
      </w:r>
      <w:r>
        <w:rPr>
          <w:rFonts w:hint="eastAsia" w:asciiTheme="minorEastAsia" w:hAnsiTheme="minorEastAsia" w:eastAsiaTheme="minorEastAsia" w:cstheme="minorEastAsia"/>
          <w:color w:val="auto"/>
          <w:lang w:val="en-US" w:eastAsia="zh-CN"/>
        </w:rPr>
        <w:t>j=0</w:t>
      </w:r>
      <w:r>
        <w:rPr>
          <w:rFonts w:hint="eastAsia" w:asciiTheme="minorEastAsia" w:hAnsiTheme="minorEastAsia" w:eastAsiaTheme="minorEastAsia" w:cstheme="minorEastAsia"/>
          <w:color w:val="auto"/>
        </w:rPr>
        <w:t>时，</w:t>
      </w:r>
      <w:r>
        <w:rPr>
          <w:rFonts w:hint="eastAsia" w:asciiTheme="minorEastAsia" w:hAnsiTheme="minorEastAsia" w:eastAsiaTheme="minorEastAsia" w:cstheme="minorEastAsia"/>
          <w:color w:val="auto"/>
          <w:lang w:val="en-US" w:eastAsia="zh-CN"/>
        </w:rPr>
        <w:t>为</w:t>
      </w:r>
      <w:r>
        <w:rPr>
          <w:rFonts w:hint="eastAsia" w:asciiTheme="minorEastAsia" w:hAnsiTheme="minorEastAsia" w:eastAsiaTheme="minorEastAsia" w:cstheme="minorEastAsia"/>
          <w:color w:val="auto"/>
        </w:rPr>
        <w:t>硬岩层的力学参数。例如</w:t>
      </w:r>
      <w:r>
        <w:rPr>
          <w:rFonts w:hint="eastAsia" w:asciiTheme="minorEastAsia" w:hAnsiTheme="minorEastAsia" w:eastAsiaTheme="minorEastAsia" w:cstheme="minorEastAsia"/>
          <w:color w:val="auto"/>
          <w:lang w:val="en-US" w:eastAsia="zh-CN"/>
        </w:rPr>
        <w:t>E</w:t>
      </w:r>
      <w:r>
        <w:rPr>
          <w:rFonts w:hint="eastAsia" w:asciiTheme="minorEastAsia" w:hAnsiTheme="minorEastAsia" w:eastAsiaTheme="minorEastAsia" w:cstheme="minorEastAsia"/>
          <w:color w:val="auto"/>
          <w:vertAlign w:val="subscript"/>
          <w:lang w:val="en-US" w:eastAsia="zh-CN"/>
        </w:rPr>
        <w:t>1,0</w:t>
      </w:r>
      <w:r>
        <w:rPr>
          <w:rFonts w:hint="eastAsia" w:asciiTheme="minorEastAsia" w:hAnsiTheme="minorEastAsia" w:eastAsiaTheme="minorEastAsia" w:cstheme="minorEastAsia"/>
          <w:color w:val="auto"/>
        </w:rPr>
        <w:t>，</w:t>
      </w:r>
      <w:r>
        <w:rPr>
          <w:rFonts w:hint="eastAsia" w:asciiTheme="minorEastAsia" w:hAnsiTheme="minorEastAsia" w:eastAsiaTheme="minorEastAsia" w:cstheme="minorEastAsia"/>
          <w:color w:val="auto"/>
          <w:lang w:val="en-US" w:eastAsia="zh-CN"/>
        </w:rPr>
        <w:t>h</w:t>
      </w:r>
      <w:r>
        <w:rPr>
          <w:rFonts w:hint="eastAsia" w:asciiTheme="minorEastAsia" w:hAnsiTheme="minorEastAsia" w:eastAsiaTheme="minorEastAsia" w:cstheme="minorEastAsia"/>
          <w:color w:val="auto"/>
          <w:vertAlign w:val="subscript"/>
          <w:lang w:val="en-US" w:eastAsia="zh-CN"/>
        </w:rPr>
        <w:t>1,0</w:t>
      </w:r>
      <w:r>
        <w:rPr>
          <w:rFonts w:hint="eastAsia" w:asciiTheme="minorEastAsia" w:hAnsiTheme="minorEastAsia" w:eastAsiaTheme="minorEastAsia" w:cstheme="minorEastAsia"/>
          <w:color w:val="auto"/>
        </w:rPr>
        <w:t>，γ</w:t>
      </w:r>
      <w:r>
        <w:rPr>
          <w:rFonts w:hint="eastAsia" w:asciiTheme="minorEastAsia" w:hAnsiTheme="minorEastAsia" w:eastAsiaTheme="minorEastAsia" w:cstheme="minorEastAsia"/>
          <w:color w:val="auto"/>
          <w:vertAlign w:val="subscript"/>
          <w:lang w:val="en-US" w:eastAsia="zh-CN"/>
        </w:rPr>
        <w:t>1,0</w:t>
      </w:r>
      <w:r>
        <w:rPr>
          <w:rFonts w:hint="eastAsia" w:ascii="宋体" w:hAnsi="宋体" w:eastAsia="宋体" w:cs="宋体"/>
          <w:color w:val="auto"/>
        </w:rPr>
        <w:t>分别为第1层硬岩层的弹性模量、厚度及容重</w:t>
      </w:r>
      <w:r>
        <w:rPr>
          <w:rFonts w:hint="eastAsia" w:ascii="宋体" w:hAnsi="宋体" w:eastAsia="宋体" w:cs="宋体"/>
          <w:color w:val="auto"/>
          <w:lang w:eastAsia="zh-CN"/>
        </w:rPr>
        <w:t>；</w:t>
      </w:r>
    </w:p>
    <w:p>
      <w:pPr>
        <w:pStyle w:val="57"/>
        <w:keepNext w:val="0"/>
        <w:keepLines w:val="0"/>
        <w:pageBreakBefore w:val="0"/>
        <w:widowControl w:val="0"/>
        <w:kinsoku/>
        <w:wordWrap/>
        <w:overflowPunct/>
        <w:topLinePunct w:val="0"/>
        <w:autoSpaceDE/>
        <w:autoSpaceDN/>
        <w:bidi w:val="0"/>
        <w:adjustRightInd/>
        <w:snapToGrid/>
        <w:ind w:firstLine="720" w:firstLineChars="300"/>
        <w:textAlignment w:val="auto"/>
        <w:rPr>
          <w:rFonts w:hint="eastAsia" w:ascii="宋体" w:hAnsi="宋体" w:eastAsia="宋体" w:cs="宋体"/>
          <w:color w:val="auto"/>
        </w:rPr>
      </w:pPr>
      <w:r>
        <w:rPr>
          <w:rFonts w:hint="eastAsia" w:ascii="宋体" w:hAnsi="宋体" w:eastAsia="宋体" w:cs="宋体"/>
          <w:color w:val="auto"/>
          <w:lang w:val="en-US" w:eastAsia="zh-CN"/>
        </w:rPr>
        <w:t>E</w:t>
      </w:r>
      <w:r>
        <w:rPr>
          <w:rFonts w:hint="eastAsia" w:ascii="宋体" w:hAnsi="宋体" w:eastAsia="宋体" w:cs="宋体"/>
          <w:color w:val="auto"/>
          <w:vertAlign w:val="subscript"/>
          <w:lang w:val="en-US" w:eastAsia="zh-CN"/>
        </w:rPr>
        <w:t>1,1</w:t>
      </w:r>
      <w:r>
        <w:rPr>
          <w:rFonts w:hint="eastAsia" w:ascii="宋体" w:hAnsi="宋体" w:eastAsia="宋体" w:cs="宋体"/>
          <w:color w:val="auto"/>
        </w:rPr>
        <w:t>，</w:t>
      </w:r>
      <w:r>
        <w:rPr>
          <w:rFonts w:hint="eastAsia" w:ascii="宋体" w:hAnsi="宋体" w:eastAsia="宋体" w:cs="宋体"/>
          <w:color w:val="auto"/>
          <w:lang w:val="en-US" w:eastAsia="zh-CN"/>
        </w:rPr>
        <w:t>h</w:t>
      </w:r>
      <w:r>
        <w:rPr>
          <w:rFonts w:hint="eastAsia" w:ascii="宋体" w:hAnsi="宋体" w:eastAsia="宋体" w:cs="宋体"/>
          <w:color w:val="auto"/>
          <w:vertAlign w:val="subscript"/>
          <w:lang w:val="en-US" w:eastAsia="zh-CN"/>
        </w:rPr>
        <w:t>1,1</w:t>
      </w:r>
      <w:r>
        <w:rPr>
          <w:rFonts w:hint="eastAsia" w:ascii="宋体" w:hAnsi="宋体" w:eastAsia="宋体" w:cs="宋体"/>
          <w:color w:val="auto"/>
        </w:rPr>
        <w:t>，γ</w:t>
      </w:r>
      <w:r>
        <w:rPr>
          <w:rFonts w:hint="eastAsia" w:ascii="宋体" w:hAnsi="宋体" w:eastAsia="宋体" w:cs="宋体"/>
          <w:color w:val="auto"/>
          <w:vertAlign w:val="subscript"/>
          <w:lang w:val="en-US" w:eastAsia="zh-CN"/>
        </w:rPr>
        <w:t>1,1</w:t>
      </w:r>
      <w:r>
        <w:rPr>
          <w:rFonts w:hint="eastAsia" w:ascii="宋体" w:hAnsi="宋体" w:eastAsia="宋体" w:cs="宋体"/>
          <w:color w:val="auto"/>
          <w:lang w:eastAsia="zh-CN"/>
        </w:rPr>
        <w:t>—</w:t>
      </w:r>
      <w:r>
        <w:rPr>
          <w:rFonts w:hint="eastAsia" w:ascii="宋体" w:hAnsi="宋体" w:eastAsia="宋体" w:cs="宋体"/>
          <w:color w:val="auto"/>
        </w:rPr>
        <w:t>第1层硬岩层所控软层组中第1层软岩的弹性模量、厚度及容重。</w:t>
      </w:r>
    </w:p>
    <w:p>
      <w:pPr>
        <w:pStyle w:val="57"/>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4.矿压主控关键层判别</w:t>
      </w:r>
    </w:p>
    <w:p>
      <w:pPr>
        <w:pStyle w:val="57"/>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olor w:val="auto"/>
        </w:rPr>
      </w:pPr>
      <w:r>
        <w:rPr>
          <w:rFonts w:hint="eastAsia" w:ascii="宋体" w:hAnsi="宋体" w:eastAsia="宋体" w:cs="宋体"/>
          <w:color w:val="auto"/>
        </w:rPr>
        <w:t>由梁理论可知，急倾斜煤层覆岩沿倾向初次破断及周期破断步距为：</w:t>
      </w:r>
    </w:p>
    <w:p>
      <w:pPr>
        <w:spacing w:line="360" w:lineRule="auto"/>
        <w:ind w:firstLine="480" w:firstLineChars="200"/>
        <w:jc w:val="center"/>
        <w:textAlignment w:val="center"/>
        <w:rPr>
          <w:rFonts w:hint="eastAsia" w:asciiTheme="minorEastAsia" w:hAnsiTheme="minorEastAsia" w:eastAsiaTheme="minorEastAsia" w:cstheme="minorEastAsia"/>
          <w:color w:val="auto"/>
          <w:sz w:val="24"/>
          <w:szCs w:val="21"/>
          <w14:ligatures w14:val="standardContextual"/>
        </w:rPr>
      </w:pPr>
      <w:r>
        <w:rPr>
          <w:rFonts w:hint="eastAsia" w:asciiTheme="minorEastAsia" w:hAnsiTheme="minorEastAsia" w:eastAsiaTheme="minorEastAsia" w:cstheme="minorEastAsia"/>
          <w:color w:val="auto"/>
          <w:sz w:val="24"/>
          <w:szCs w:val="22"/>
          <w14:ligatures w14:val="standardContextual"/>
        </w:rPr>
        <w:object>
          <v:shape id="_x0000_i1039" o:spt="75" type="#_x0000_t75" style="height:77.55pt;width:69.8pt;" o:ole="t" filled="f" o:preferrelative="t" stroked="f" coordsize="21600,21600">
            <v:path/>
            <v:fill on="f" focussize="0,0"/>
            <v:stroke on="f" joinstyle="miter"/>
            <v:imagedata r:id="rId32" o:title=""/>
            <o:lock v:ext="edit" aspectratio="t"/>
            <w10:wrap type="none"/>
            <w10:anchorlock/>
          </v:shape>
          <o:OLEObject Type="Embed" ProgID="Equation.DSMT4" ShapeID="_x0000_i1039" DrawAspect="Content" ObjectID="_1468075739" r:id="rId46">
            <o:LockedField>false</o:LockedField>
          </o:OLEObject>
        </w:object>
      </w:r>
    </w:p>
    <w:p>
      <w:pPr>
        <w:pStyle w:val="57"/>
        <w:bidi w:val="0"/>
        <w:ind w:left="0" w:leftChars="0" w:firstLine="0" w:firstLineChars="0"/>
        <w:rPr>
          <w:rFonts w:hint="eastAsia" w:ascii="宋体" w:hAnsi="宋体" w:eastAsia="宋体" w:cs="宋体"/>
          <w:color w:val="auto"/>
        </w:rPr>
      </w:pPr>
      <w:r>
        <w:rPr>
          <w:rFonts w:hint="eastAsia" w:ascii="宋体" w:hAnsi="宋体" w:eastAsia="宋体" w:cs="宋体"/>
          <w:color w:val="auto"/>
        </w:rPr>
        <w:t>式中</w:t>
      </w:r>
      <w:r>
        <w:rPr>
          <w:rFonts w:hint="eastAsia" w:cs="宋体"/>
          <w:color w:val="auto"/>
          <w:lang w:val="en-US" w:eastAsia="zh-CN"/>
        </w:rPr>
        <w:t xml:space="preserve">  </w:t>
      </w:r>
      <w:r>
        <w:rPr>
          <w:rFonts w:hint="eastAsia" w:ascii="宋体" w:hAnsi="宋体" w:eastAsia="宋体" w:cs="宋体"/>
          <w:color w:val="auto"/>
          <w:lang w:val="en-US" w:eastAsia="zh-CN"/>
        </w:rPr>
        <w:t>h</w:t>
      </w:r>
      <w:r>
        <w:rPr>
          <w:rFonts w:hint="eastAsia" w:ascii="宋体" w:hAnsi="宋体" w:eastAsia="宋体" w:cs="宋体"/>
          <w:color w:val="auto"/>
          <w:lang w:eastAsia="zh-CN"/>
        </w:rPr>
        <w:t>—</w:t>
      </w:r>
      <w:r>
        <w:rPr>
          <w:rFonts w:hint="eastAsia" w:ascii="宋体" w:hAnsi="宋体" w:eastAsia="宋体" w:cs="宋体"/>
          <w:color w:val="auto"/>
        </w:rPr>
        <w:t>硬岩层厚度，</w:t>
      </w:r>
      <w:r>
        <w:rPr>
          <w:rFonts w:hint="eastAsia" w:ascii="宋体" w:hAnsi="宋体" w:eastAsia="宋体" w:cs="宋体"/>
          <w:color w:val="auto"/>
          <w:lang w:val="en-US" w:eastAsia="zh-CN"/>
        </w:rPr>
        <w:t>单位：</w:t>
      </w:r>
      <w:r>
        <w:rPr>
          <w:rFonts w:hint="eastAsia" w:ascii="宋体" w:hAnsi="宋体" w:eastAsia="宋体" w:cs="宋体"/>
          <w:color w:val="auto"/>
        </w:rPr>
        <w:t>m；</w:t>
      </w:r>
    </w:p>
    <w:p>
      <w:pPr>
        <w:pStyle w:val="57"/>
        <w:bidi w:val="0"/>
        <w:ind w:firstLine="720" w:firstLineChars="300"/>
        <w:rPr>
          <w:rFonts w:hint="eastAsia" w:ascii="宋体" w:hAnsi="宋体" w:eastAsia="宋体" w:cs="宋体"/>
          <w:color w:val="auto"/>
        </w:rPr>
      </w:pPr>
      <w:r>
        <w:rPr>
          <w:rFonts w:hint="eastAsia" w:ascii="宋体" w:hAnsi="宋体" w:eastAsia="宋体" w:cs="宋体"/>
          <w:color w:val="auto"/>
          <w:lang w:val="en-US" w:eastAsia="zh-CN"/>
        </w:rPr>
        <w:t>R</w:t>
      </w:r>
      <w:r>
        <w:rPr>
          <w:rFonts w:hint="eastAsia" w:ascii="宋体" w:hAnsi="宋体" w:eastAsia="宋体" w:cs="宋体"/>
          <w:color w:val="auto"/>
          <w:vertAlign w:val="subscript"/>
          <w:lang w:val="en-US" w:eastAsia="zh-CN"/>
        </w:rPr>
        <w:t>t</w:t>
      </w:r>
      <w:r>
        <w:rPr>
          <w:rFonts w:hint="eastAsia" w:ascii="宋体" w:hAnsi="宋体" w:eastAsia="宋体" w:cs="宋体"/>
          <w:color w:val="auto"/>
          <w:lang w:eastAsia="zh-CN"/>
        </w:rPr>
        <w:t>—</w:t>
      </w:r>
      <w:r>
        <w:rPr>
          <w:rFonts w:hint="eastAsia" w:ascii="宋体" w:hAnsi="宋体" w:eastAsia="宋体" w:cs="宋体"/>
          <w:color w:val="auto"/>
        </w:rPr>
        <w:t>硬岩层抗拉强度，</w:t>
      </w:r>
      <w:r>
        <w:rPr>
          <w:rFonts w:hint="eastAsia" w:ascii="宋体" w:hAnsi="宋体" w:eastAsia="宋体" w:cs="宋体"/>
          <w:color w:val="auto"/>
          <w:lang w:val="en-US" w:eastAsia="zh-CN"/>
        </w:rPr>
        <w:t>单位：</w:t>
      </w:r>
      <w:r>
        <w:rPr>
          <w:rFonts w:hint="eastAsia" w:ascii="宋体" w:hAnsi="宋体" w:eastAsia="宋体" w:cs="宋体"/>
          <w:color w:val="auto"/>
        </w:rPr>
        <w:t>Pa；</w:t>
      </w:r>
    </w:p>
    <w:p>
      <w:pPr>
        <w:pStyle w:val="57"/>
        <w:bidi w:val="0"/>
        <w:ind w:firstLine="720" w:firstLineChars="300"/>
        <w:rPr>
          <w:rFonts w:hint="eastAsia" w:ascii="宋体" w:hAnsi="宋体" w:eastAsia="宋体" w:cs="宋体"/>
          <w:color w:val="auto"/>
        </w:rPr>
      </w:pPr>
      <w:r>
        <w:rPr>
          <w:rFonts w:hint="eastAsia" w:ascii="宋体" w:hAnsi="宋体" w:eastAsia="宋体" w:cs="宋体"/>
          <w:color w:val="auto"/>
          <w:lang w:val="en-US" w:eastAsia="zh-CN"/>
        </w:rPr>
        <w:t>q</w:t>
      </w:r>
      <w:r>
        <w:rPr>
          <w:rFonts w:hint="eastAsia" w:ascii="宋体" w:hAnsi="宋体" w:eastAsia="宋体" w:cs="宋体"/>
          <w:color w:val="auto"/>
          <w:lang w:eastAsia="zh-CN"/>
        </w:rPr>
        <w:t>—</w:t>
      </w:r>
      <w:r>
        <w:rPr>
          <w:rFonts w:hint="eastAsia" w:ascii="宋体" w:hAnsi="宋体" w:eastAsia="宋体" w:cs="宋体"/>
          <w:color w:val="auto"/>
        </w:rPr>
        <w:t>硬岩层承受载荷，</w:t>
      </w:r>
      <w:r>
        <w:rPr>
          <w:rFonts w:hint="eastAsia" w:ascii="宋体" w:hAnsi="宋体" w:eastAsia="宋体" w:cs="宋体"/>
          <w:color w:val="auto"/>
          <w:lang w:val="en-US" w:eastAsia="zh-CN"/>
        </w:rPr>
        <w:t>单位：</w:t>
      </w:r>
      <w:r>
        <w:rPr>
          <w:rFonts w:hint="eastAsia" w:ascii="宋体" w:hAnsi="宋体" w:eastAsia="宋体" w:cs="宋体"/>
          <w:color w:val="auto"/>
        </w:rPr>
        <w:t>Pa；</w:t>
      </w:r>
    </w:p>
    <w:p>
      <w:pPr>
        <w:pStyle w:val="57"/>
        <w:bidi w:val="0"/>
        <w:ind w:firstLine="720" w:firstLineChars="300"/>
        <w:rPr>
          <w:rFonts w:hint="eastAsia" w:ascii="宋体" w:hAnsi="宋体" w:eastAsia="宋体" w:cs="宋体"/>
          <w:color w:val="auto"/>
        </w:rPr>
      </w:pPr>
      <w:r>
        <w:rPr>
          <w:rFonts w:hint="eastAsia" w:ascii="宋体" w:hAnsi="宋体" w:eastAsia="宋体" w:cs="宋体"/>
          <w:color w:val="auto"/>
          <w:position w:val="-6"/>
          <w:szCs w:val="22"/>
          <w14:ligatures w14:val="standardContextual"/>
        </w:rPr>
        <w:t>θ</w:t>
      </w:r>
      <w:r>
        <w:rPr>
          <w:rFonts w:hint="eastAsia" w:ascii="宋体" w:hAnsi="宋体" w:eastAsia="宋体" w:cs="宋体"/>
          <w:color w:val="auto"/>
          <w:lang w:eastAsia="zh-CN"/>
        </w:rPr>
        <w:t>—</w:t>
      </w:r>
      <w:r>
        <w:rPr>
          <w:rFonts w:hint="eastAsia" w:ascii="宋体" w:hAnsi="宋体" w:eastAsia="宋体" w:cs="宋体"/>
          <w:color w:val="auto"/>
        </w:rPr>
        <w:t>岩层倾角，</w:t>
      </w:r>
      <w:r>
        <w:rPr>
          <w:rFonts w:hint="eastAsia" w:ascii="宋体" w:hAnsi="宋体" w:eastAsia="宋体" w:cs="宋体"/>
          <w:color w:val="auto"/>
          <w:lang w:val="en-US" w:eastAsia="zh-CN"/>
        </w:rPr>
        <w:t>单位：°</w:t>
      </w:r>
      <w:r>
        <w:rPr>
          <w:rFonts w:hint="eastAsia" w:ascii="宋体" w:hAnsi="宋体" w:eastAsia="宋体" w:cs="宋体"/>
          <w:color w:val="auto"/>
        </w:rPr>
        <w:t>。</w:t>
      </w:r>
    </w:p>
    <w:p>
      <w:pPr>
        <w:pStyle w:val="57"/>
        <w:bidi w:val="0"/>
        <w:rPr>
          <w:rFonts w:hint="eastAsia" w:ascii="宋体" w:hAnsi="宋体" w:eastAsia="宋体" w:cs="宋体"/>
          <w:color w:val="auto"/>
        </w:rPr>
      </w:pPr>
      <w:r>
        <w:rPr>
          <w:rFonts w:hint="eastAsia" w:ascii="宋体" w:hAnsi="宋体" w:eastAsia="宋体" w:cs="宋体"/>
          <w:color w:val="auto"/>
        </w:rPr>
        <w:t>急倾斜煤层硬岩层在载荷作用下弯曲变形，弯矩做功产生弯曲变形能，各硬岩层积聚能量W为：</w:t>
      </w:r>
    </w:p>
    <w:p>
      <w:pPr>
        <w:spacing w:line="360" w:lineRule="auto"/>
        <w:ind w:firstLine="480" w:firstLineChars="200"/>
        <w:jc w:val="center"/>
        <w:rPr>
          <w:rFonts w:ascii="Times New Roman" w:hAnsi="Times New Roman" w:eastAsia="宋体" w:cs="Times New Roman"/>
          <w:color w:val="auto"/>
          <w:sz w:val="24"/>
          <w:szCs w:val="21"/>
          <w14:ligatures w14:val="standardContextual"/>
        </w:rPr>
      </w:pPr>
      <w:r>
        <w:rPr>
          <w:rFonts w:hint="eastAsia" w:asciiTheme="minorEastAsia" w:hAnsiTheme="minorEastAsia" w:eastAsiaTheme="minorEastAsia" w:cstheme="minorEastAsia"/>
          <w:color w:val="auto"/>
          <w:position w:val="-22"/>
          <w:sz w:val="24"/>
          <w:szCs w:val="22"/>
          <w14:ligatures w14:val="standardContextual"/>
        </w:rPr>
        <w:object>
          <v:shape id="_x0000_i1040" o:spt="75" type="#_x0000_t75" style="height:32.15pt;width:55.75pt;" o:ole="t" filled="f" o:preferrelative="t" stroked="f" coordsize="21600,21600">
            <v:path/>
            <v:fill on="f" focussize="0,0"/>
            <v:stroke on="f"/>
            <v:imagedata r:id="rId34" o:title=""/>
            <o:lock v:ext="edit" aspectratio="t"/>
            <w10:wrap type="none"/>
            <w10:anchorlock/>
          </v:shape>
          <o:OLEObject Type="Embed" ProgID="Equation.DSMT4" ShapeID="_x0000_i1040" DrawAspect="Content" ObjectID="_1468075740" r:id="rId47">
            <o:LockedField>false</o:LockedField>
          </o:OLEObject>
        </w:object>
      </w:r>
    </w:p>
    <w:p>
      <w:pPr>
        <w:pStyle w:val="57"/>
        <w:bidi w:val="0"/>
        <w:ind w:left="0" w:leftChars="0" w:firstLine="0" w:firstLineChars="0"/>
        <w:rPr>
          <w:rFonts w:hint="eastAsia" w:ascii="宋体" w:hAnsi="宋体" w:eastAsia="宋体" w:cs="宋体"/>
          <w:color w:val="auto"/>
        </w:rPr>
      </w:pPr>
      <w:r>
        <w:rPr>
          <w:rFonts w:hint="eastAsia" w:ascii="宋体" w:hAnsi="宋体" w:eastAsia="宋体" w:cs="宋体"/>
          <w:color w:val="auto"/>
        </w:rPr>
        <w:t>式中</w:t>
      </w:r>
      <w:r>
        <w:rPr>
          <w:rFonts w:hint="eastAsia" w:cs="宋体"/>
          <w:color w:val="auto"/>
          <w:lang w:val="en-US" w:eastAsia="zh-CN"/>
        </w:rPr>
        <w:t xml:space="preserve">  </w:t>
      </w:r>
      <w:r>
        <w:rPr>
          <w:rFonts w:hint="eastAsia" w:ascii="宋体" w:hAnsi="宋体" w:eastAsia="宋体" w:cs="宋体"/>
          <w:color w:val="auto"/>
          <w:lang w:val="en-US" w:eastAsia="zh-CN"/>
        </w:rPr>
        <w:t>q—</w:t>
      </w:r>
      <w:r>
        <w:rPr>
          <w:rFonts w:hint="eastAsia" w:ascii="宋体" w:hAnsi="宋体" w:eastAsia="宋体" w:cs="宋体"/>
          <w:color w:val="auto"/>
        </w:rPr>
        <w:t>硬岩层载荷，</w:t>
      </w:r>
      <w:r>
        <w:rPr>
          <w:rFonts w:hint="eastAsia" w:ascii="宋体" w:hAnsi="宋体" w:eastAsia="宋体" w:cs="宋体"/>
          <w:color w:val="auto"/>
          <w:lang w:val="en-US" w:eastAsia="zh-CN"/>
        </w:rPr>
        <w:t>单位：</w:t>
      </w:r>
      <w:r>
        <w:rPr>
          <w:rFonts w:hint="eastAsia" w:ascii="宋体" w:hAnsi="宋体" w:eastAsia="宋体" w:cs="宋体"/>
          <w:color w:val="auto"/>
        </w:rPr>
        <w:t>Pa；</w:t>
      </w:r>
    </w:p>
    <w:p>
      <w:pPr>
        <w:pStyle w:val="57"/>
        <w:bidi w:val="0"/>
        <w:ind w:firstLine="720" w:firstLineChars="300"/>
        <w:rPr>
          <w:rFonts w:hint="eastAsia" w:ascii="宋体" w:hAnsi="宋体" w:eastAsia="宋体" w:cs="宋体"/>
          <w:color w:val="auto"/>
        </w:rPr>
      </w:pPr>
      <w:r>
        <w:rPr>
          <w:rFonts w:hint="eastAsia" w:ascii="宋体" w:hAnsi="宋体" w:eastAsia="宋体" w:cs="宋体"/>
          <w:color w:val="auto"/>
          <w:lang w:val="en-US" w:eastAsia="zh-CN"/>
        </w:rPr>
        <w:t>L</w:t>
      </w:r>
      <w:r>
        <w:rPr>
          <w:rFonts w:hint="eastAsia" w:ascii="宋体" w:hAnsi="宋体" w:eastAsia="宋体" w:cs="宋体"/>
          <w:color w:val="auto"/>
          <w:vertAlign w:val="subscript"/>
          <w:lang w:val="en-US" w:eastAsia="zh-CN"/>
        </w:rPr>
        <w:t>1</w:t>
      </w:r>
      <w:r>
        <w:rPr>
          <w:rFonts w:hint="eastAsia" w:ascii="宋体" w:hAnsi="宋体" w:eastAsia="宋体" w:cs="宋体"/>
          <w:color w:val="auto"/>
          <w:lang w:val="en-US" w:eastAsia="zh-CN"/>
        </w:rPr>
        <w:t>—</w:t>
      </w:r>
      <w:r>
        <w:rPr>
          <w:rFonts w:hint="eastAsia" w:ascii="宋体" w:hAnsi="宋体" w:eastAsia="宋体" w:cs="宋体"/>
          <w:color w:val="auto"/>
        </w:rPr>
        <w:t>分别为倾向破断步距，</w:t>
      </w:r>
      <w:r>
        <w:rPr>
          <w:rFonts w:hint="eastAsia" w:ascii="宋体" w:hAnsi="宋体" w:eastAsia="宋体" w:cs="宋体"/>
          <w:color w:val="auto"/>
          <w:lang w:val="en-US" w:eastAsia="zh-CN"/>
        </w:rPr>
        <w:t>单位：</w:t>
      </w:r>
      <w:r>
        <w:rPr>
          <w:rFonts w:hint="eastAsia" w:ascii="宋体" w:hAnsi="宋体" w:eastAsia="宋体" w:cs="宋体"/>
          <w:color w:val="auto"/>
        </w:rPr>
        <w:t>m；</w:t>
      </w:r>
    </w:p>
    <w:p>
      <w:pPr>
        <w:pStyle w:val="57"/>
        <w:bidi w:val="0"/>
        <w:ind w:firstLine="720" w:firstLineChars="300"/>
        <w:rPr>
          <w:rFonts w:hint="eastAsia" w:ascii="宋体" w:hAnsi="宋体" w:eastAsia="宋体" w:cs="宋体"/>
          <w:color w:val="auto"/>
          <w:lang w:eastAsia="zh-CN"/>
        </w:rPr>
      </w:pPr>
      <w:r>
        <w:rPr>
          <w:rFonts w:hint="eastAsia" w:ascii="宋体" w:hAnsi="宋体" w:eastAsia="宋体" w:cs="宋体"/>
          <w:color w:val="auto"/>
          <w:lang w:val="en-US" w:eastAsia="zh-CN"/>
        </w:rPr>
        <w:t>EI—</w:t>
      </w:r>
      <w:r>
        <w:rPr>
          <w:rFonts w:hint="eastAsia" w:ascii="宋体" w:hAnsi="宋体" w:eastAsia="宋体" w:cs="宋体"/>
          <w:color w:val="auto"/>
        </w:rPr>
        <w:t>简支梁界面抗弯强度，</w:t>
      </w:r>
      <w:r>
        <w:rPr>
          <w:rFonts w:hint="eastAsia" w:ascii="宋体" w:hAnsi="宋体" w:eastAsia="宋体" w:cs="宋体"/>
          <w:color w:val="auto"/>
          <w:lang w:val="en-US" w:eastAsia="zh-CN"/>
        </w:rPr>
        <w:t>单位：</w:t>
      </w:r>
      <w:r>
        <w:rPr>
          <w:rFonts w:hint="eastAsia" w:ascii="宋体" w:hAnsi="宋体" w:eastAsia="宋体" w:cs="宋体"/>
          <w:color w:val="auto"/>
        </w:rPr>
        <w:t>GPa·m</w:t>
      </w:r>
      <w:r>
        <w:rPr>
          <w:rFonts w:hint="eastAsia" w:ascii="宋体" w:hAnsi="宋体" w:eastAsia="宋体" w:cs="宋体"/>
          <w:color w:val="auto"/>
          <w:vertAlign w:val="superscript"/>
        </w:rPr>
        <w:t>3</w:t>
      </w:r>
      <w:r>
        <w:rPr>
          <w:rFonts w:hint="eastAsia" w:ascii="宋体" w:hAnsi="宋体" w:eastAsia="宋体" w:cs="宋体"/>
          <w:color w:val="auto"/>
          <w:lang w:eastAsia="zh-CN"/>
        </w:rPr>
        <w:t>。</w:t>
      </w:r>
    </w:p>
    <w:p>
      <w:pPr>
        <w:pStyle w:val="57"/>
        <w:bidi w:val="0"/>
        <w:rPr>
          <w:rFonts w:hint="eastAsia" w:ascii="宋体" w:hAnsi="宋体" w:eastAsia="宋体" w:cs="宋体"/>
          <w:color w:val="auto"/>
        </w:rPr>
      </w:pPr>
      <w:r>
        <w:rPr>
          <w:rFonts w:hint="eastAsia" w:ascii="宋体" w:hAnsi="宋体" w:eastAsia="宋体" w:cs="宋体"/>
          <w:color w:val="auto"/>
        </w:rPr>
        <w:t>设煤层上方的n层岩层依次断裂并释放能量，释放的能量分别记为E</w:t>
      </w:r>
      <w:r>
        <w:rPr>
          <w:rFonts w:hint="eastAsia" w:ascii="宋体" w:hAnsi="宋体" w:eastAsia="宋体" w:cs="宋体"/>
          <w:color w:val="auto"/>
          <w:vertAlign w:val="subscript"/>
        </w:rPr>
        <w:t>1</w:t>
      </w:r>
      <w:r>
        <w:rPr>
          <w:rFonts w:hint="eastAsia" w:ascii="宋体" w:hAnsi="宋体" w:eastAsia="宋体" w:cs="宋体"/>
          <w:color w:val="auto"/>
        </w:rPr>
        <w:t>、E</w:t>
      </w:r>
      <w:r>
        <w:rPr>
          <w:rFonts w:hint="eastAsia" w:ascii="宋体" w:hAnsi="宋体" w:eastAsia="宋体" w:cs="宋体"/>
          <w:color w:val="auto"/>
          <w:vertAlign w:val="subscript"/>
        </w:rPr>
        <w:t>2</w:t>
      </w:r>
      <w:r>
        <w:rPr>
          <w:rFonts w:hint="eastAsia" w:ascii="宋体" w:hAnsi="宋体" w:eastAsia="宋体" w:cs="宋体"/>
          <w:color w:val="auto"/>
        </w:rPr>
        <w:t>、E</w:t>
      </w:r>
      <w:r>
        <w:rPr>
          <w:rFonts w:hint="eastAsia" w:ascii="宋体" w:hAnsi="宋体" w:eastAsia="宋体" w:cs="宋体"/>
          <w:color w:val="auto"/>
          <w:vertAlign w:val="subscript"/>
        </w:rPr>
        <w:t>3</w:t>
      </w:r>
      <w:r>
        <w:rPr>
          <w:rFonts w:hint="eastAsia" w:ascii="宋体" w:hAnsi="宋体" w:eastAsia="宋体" w:cs="宋体"/>
          <w:color w:val="auto"/>
        </w:rPr>
        <w:t>、…、E</w:t>
      </w:r>
      <w:r>
        <w:rPr>
          <w:rFonts w:hint="eastAsia" w:ascii="宋体" w:hAnsi="宋体" w:eastAsia="宋体" w:cs="宋体"/>
          <w:color w:val="auto"/>
          <w:vertAlign w:val="subscript"/>
        </w:rPr>
        <w:t>n-1</w:t>
      </w:r>
      <w:r>
        <w:rPr>
          <w:rFonts w:hint="eastAsia" w:ascii="宋体" w:hAnsi="宋体" w:eastAsia="宋体" w:cs="宋体"/>
          <w:color w:val="auto"/>
        </w:rPr>
        <w:t>、E</w:t>
      </w:r>
      <w:r>
        <w:rPr>
          <w:rFonts w:hint="eastAsia" w:ascii="宋体" w:hAnsi="宋体" w:eastAsia="宋体" w:cs="宋体"/>
          <w:color w:val="auto"/>
          <w:vertAlign w:val="subscript"/>
        </w:rPr>
        <w:t>n</w:t>
      </w:r>
      <w:r>
        <w:rPr>
          <w:rFonts w:hint="eastAsia" w:ascii="宋体" w:hAnsi="宋体" w:eastAsia="宋体" w:cs="宋体"/>
          <w:color w:val="auto"/>
        </w:rPr>
        <w:t>，震源距离开采煤体的距离为r</w:t>
      </w:r>
      <w:r>
        <w:rPr>
          <w:rFonts w:hint="eastAsia" w:ascii="宋体" w:hAnsi="宋体" w:eastAsia="宋体" w:cs="宋体"/>
          <w:color w:val="auto"/>
          <w:vertAlign w:val="subscript"/>
        </w:rPr>
        <w:t>1</w:t>
      </w:r>
      <w:r>
        <w:rPr>
          <w:rFonts w:hint="eastAsia" w:ascii="宋体" w:hAnsi="宋体" w:eastAsia="宋体" w:cs="宋体"/>
          <w:color w:val="auto"/>
        </w:rPr>
        <w:t>、r</w:t>
      </w:r>
      <w:r>
        <w:rPr>
          <w:rFonts w:hint="eastAsia" w:ascii="宋体" w:hAnsi="宋体" w:eastAsia="宋体" w:cs="宋体"/>
          <w:color w:val="auto"/>
          <w:vertAlign w:val="subscript"/>
        </w:rPr>
        <w:t>2</w:t>
      </w:r>
      <w:r>
        <w:rPr>
          <w:rFonts w:hint="eastAsia" w:ascii="宋体" w:hAnsi="宋体" w:eastAsia="宋体" w:cs="宋体"/>
          <w:color w:val="auto"/>
        </w:rPr>
        <w:t>、r</w:t>
      </w:r>
      <w:r>
        <w:rPr>
          <w:rFonts w:hint="eastAsia" w:ascii="宋体" w:hAnsi="宋体" w:eastAsia="宋体" w:cs="宋体"/>
          <w:color w:val="auto"/>
          <w:vertAlign w:val="subscript"/>
        </w:rPr>
        <w:t>3</w:t>
      </w:r>
      <w:r>
        <w:rPr>
          <w:rFonts w:hint="eastAsia" w:ascii="宋体" w:hAnsi="宋体" w:eastAsia="宋体" w:cs="宋体"/>
          <w:color w:val="auto"/>
        </w:rPr>
        <w:t>、…、r</w:t>
      </w:r>
      <w:r>
        <w:rPr>
          <w:rFonts w:hint="eastAsia" w:ascii="宋体" w:hAnsi="宋体" w:eastAsia="宋体" w:cs="宋体"/>
          <w:color w:val="auto"/>
          <w:vertAlign w:val="subscript"/>
        </w:rPr>
        <w:t>n-1</w:t>
      </w:r>
      <w:r>
        <w:rPr>
          <w:rFonts w:hint="eastAsia" w:ascii="宋体" w:hAnsi="宋体" w:eastAsia="宋体" w:cs="宋体"/>
          <w:color w:val="auto"/>
        </w:rPr>
        <w:t>、r</w:t>
      </w:r>
      <w:r>
        <w:rPr>
          <w:rFonts w:hint="eastAsia" w:ascii="宋体" w:hAnsi="宋体" w:eastAsia="宋体" w:cs="宋体"/>
          <w:color w:val="auto"/>
          <w:vertAlign w:val="subscript"/>
        </w:rPr>
        <w:t>n</w:t>
      </w:r>
      <w:r>
        <w:rPr>
          <w:rFonts w:hint="eastAsia" w:ascii="宋体" w:hAnsi="宋体" w:eastAsia="宋体" w:cs="宋体"/>
          <w:color w:val="auto"/>
        </w:rPr>
        <w:t>，该能量在岩体中以指数形式衰减，衰减指数（阻尼）为η，衰减规律为</w:t>
      </w:r>
    </w:p>
    <w:p>
      <w:pPr>
        <w:spacing w:line="360" w:lineRule="auto"/>
        <w:jc w:val="center"/>
        <w:rPr>
          <w:rFonts w:hint="eastAsia" w:asciiTheme="minorEastAsia" w:hAnsiTheme="minorEastAsia" w:eastAsiaTheme="minorEastAsia" w:cstheme="minorEastAsia"/>
          <w:color w:val="auto"/>
          <w:sz w:val="24"/>
          <w:szCs w:val="22"/>
          <w14:ligatures w14:val="standardContextual"/>
        </w:rPr>
      </w:pPr>
      <w:r>
        <w:rPr>
          <w:rFonts w:hint="eastAsia" w:asciiTheme="minorEastAsia" w:hAnsiTheme="minorEastAsia" w:eastAsiaTheme="minorEastAsia" w:cstheme="minorEastAsia"/>
          <w:color w:val="auto"/>
          <w:position w:val="-12"/>
          <w:sz w:val="24"/>
          <w:szCs w:val="22"/>
          <w14:ligatures w14:val="standardContextual"/>
        </w:rPr>
        <w:object>
          <v:shape id="_x0000_i1041" o:spt="75" type="#_x0000_t75" style="height:18.5pt;width:54pt;" o:ole="t" filled="f" o:preferrelative="t" stroked="f" coordsize="21600,21600">
            <v:path/>
            <v:fill on="f" focussize="0,0"/>
            <v:stroke on="f" joinstyle="miter"/>
            <v:imagedata r:id="rId36" o:title=""/>
            <o:lock v:ext="edit" aspectratio="t"/>
            <w10:wrap type="none"/>
            <w10:anchorlock/>
          </v:shape>
          <o:OLEObject Type="Embed" ProgID="Equation.DSMT4" ShapeID="_x0000_i1041" DrawAspect="Content" ObjectID="_1468075741" r:id="rId48">
            <o:LockedField>false</o:LockedField>
          </o:OLEObject>
        </w:object>
      </w:r>
    </w:p>
    <w:p>
      <w:pPr>
        <w:pStyle w:val="57"/>
        <w:bidi w:val="0"/>
        <w:rPr>
          <w:rFonts w:hint="eastAsia"/>
          <w:color w:val="auto"/>
          <w:lang w:val="en-US" w:eastAsia="zh-CN"/>
        </w:rPr>
      </w:pPr>
      <w:r>
        <w:rPr>
          <w:color w:val="auto"/>
        </w:rPr>
        <w:t>则传播至煤体的能量分别为：</w:t>
      </w:r>
    </w:p>
    <w:p>
      <w:pPr>
        <w:spacing w:line="360" w:lineRule="auto"/>
        <w:jc w:val="center"/>
        <w:rPr>
          <w:rFonts w:ascii="Times New Roman" w:hAnsi="Times New Roman" w:eastAsia="宋体" w:cs="Times New Roman"/>
          <w:color w:val="auto"/>
          <w:sz w:val="24"/>
          <w:szCs w:val="22"/>
          <w14:ligatures w14:val="standardContextual"/>
        </w:rPr>
      </w:pPr>
      <w:r>
        <w:rPr>
          <w:rFonts w:hint="eastAsia" w:asciiTheme="minorEastAsia" w:hAnsiTheme="minorEastAsia" w:eastAsiaTheme="minorEastAsia" w:cstheme="minorEastAsia"/>
          <w:color w:val="auto"/>
          <w:position w:val="-92"/>
          <w:sz w:val="24"/>
          <w:szCs w:val="22"/>
          <w14:ligatures w14:val="standardContextual"/>
        </w:rPr>
        <w:object>
          <v:shape id="_x0000_i1042" o:spt="75" type="#_x0000_t75" style="height:98.5pt;width:80.5pt;" o:ole="t" filled="f" o:preferrelative="t" stroked="f" coordsize="21600,21600">
            <v:path/>
            <v:fill on="f" focussize="0,0"/>
            <v:stroke on="f" joinstyle="miter"/>
            <v:imagedata r:id="rId38" o:title=""/>
            <o:lock v:ext="edit" aspectratio="t"/>
            <w10:wrap type="none"/>
            <w10:anchorlock/>
          </v:shape>
          <o:OLEObject Type="Embed" ProgID="Equation.DSMT4" ShapeID="_x0000_i1042" DrawAspect="Content" ObjectID="_1468075742" r:id="rId49">
            <o:LockedField>false</o:LockedField>
          </o:OLEObject>
        </w:object>
      </w:r>
    </w:p>
    <w:p>
      <w:pPr>
        <w:pStyle w:val="57"/>
        <w:bidi w:val="0"/>
        <w:rPr>
          <w:rFonts w:hint="eastAsia"/>
          <w:color w:val="auto"/>
          <w:lang w:val="en-US" w:eastAsia="zh-CN"/>
        </w:rPr>
      </w:pPr>
      <w:r>
        <w:rPr>
          <w:color w:val="auto"/>
          <w:lang w:val="en-US" w:eastAsia="zh-CN"/>
        </w:rPr>
        <w:t>计算得到</w:t>
      </w:r>
      <w:r>
        <w:rPr>
          <w:rFonts w:hint="eastAsia"/>
          <w:color w:val="auto"/>
          <w:lang w:val="en-US" w:eastAsia="zh-CN"/>
        </w:rPr>
        <w:t>各</w:t>
      </w:r>
      <w:r>
        <w:rPr>
          <w:rFonts w:hint="eastAsia" w:asciiTheme="minorEastAsia" w:hAnsiTheme="minorEastAsia" w:eastAsiaTheme="minorEastAsia" w:cstheme="minorEastAsia"/>
          <w:color w:val="auto"/>
        </w:rPr>
        <w:t>硬岩层</w:t>
      </w:r>
      <w:r>
        <w:rPr>
          <w:rFonts w:hint="eastAsia"/>
          <w:color w:val="auto"/>
          <w:lang w:val="en-US" w:eastAsia="zh-CN"/>
        </w:rPr>
        <w:t>能量积聚及动载扰动特征如表2-1-4所示。</w:t>
      </w:r>
    </w:p>
    <w:p>
      <w:pPr>
        <w:pStyle w:val="57"/>
        <w:bidi w:val="0"/>
        <w:ind w:left="0" w:leftChars="0" w:firstLine="0" w:firstLineChars="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表2-1-4                   南103</w:t>
      </w:r>
      <w:r>
        <w:rPr>
          <w:rFonts w:hint="eastAsia" w:ascii="楷体_GB2312" w:hAnsi="楷体_GB2312" w:eastAsia="楷体_GB2312" w:cs="楷体_GB2312"/>
          <w:color w:val="auto"/>
          <w:vertAlign w:val="superscript"/>
          <w:lang w:val="en-US" w:eastAsia="zh-CN"/>
        </w:rPr>
        <w:t>-1</w:t>
      </w:r>
      <w:r>
        <w:rPr>
          <w:rFonts w:hint="eastAsia" w:ascii="楷体_GB2312" w:hAnsi="楷体_GB2312" w:eastAsia="楷体_GB2312" w:cs="楷体_GB2312"/>
          <w:color w:val="auto"/>
          <w:lang w:val="en-US" w:eastAsia="zh-CN"/>
        </w:rPr>
        <w:t>工作面覆岩关键层判别</w:t>
      </w:r>
    </w:p>
    <w:tbl>
      <w:tblPr>
        <w:tblStyle w:val="25"/>
        <w:tblW w:w="4996" w:type="pct"/>
        <w:jc w:val="center"/>
        <w:tblLayout w:type="autofit"/>
        <w:tblCellMar>
          <w:top w:w="0" w:type="dxa"/>
          <w:left w:w="108" w:type="dxa"/>
          <w:bottom w:w="0" w:type="dxa"/>
          <w:right w:w="108" w:type="dxa"/>
        </w:tblCellMar>
      </w:tblPr>
      <w:tblGrid>
        <w:gridCol w:w="1385"/>
        <w:gridCol w:w="954"/>
        <w:gridCol w:w="1659"/>
        <w:gridCol w:w="1280"/>
        <w:gridCol w:w="1280"/>
        <w:gridCol w:w="1280"/>
        <w:gridCol w:w="1443"/>
      </w:tblGrid>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岩性</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层厚</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与煤层垂距（m）</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初次破断距（m）</w:t>
            </w: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周期破断距（m）</w:t>
            </w:r>
          </w:p>
        </w:tc>
        <w:tc>
          <w:tcPr>
            <w:tcW w:w="689"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积聚能量（J）</w:t>
            </w:r>
          </w:p>
        </w:tc>
        <w:tc>
          <w:tcPr>
            <w:tcW w:w="777"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传递至煤体能量（J）</w:t>
            </w: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粗砂岩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95</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93</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粗砂岩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6</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87</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85</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514"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8</w:t>
            </w:r>
          </w:p>
        </w:tc>
        <w:tc>
          <w:tcPr>
            <w:tcW w:w="893" w:type="pct"/>
            <w:tcBorders>
              <w:top w:val="single" w:color="000000" w:sz="4" w:space="0"/>
              <w:left w:val="single" w:color="000000" w:sz="4" w:space="0"/>
              <w:bottom w:val="single" w:color="000000" w:sz="4" w:space="0"/>
              <w:right w:val="single" w:color="000000"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77</w:t>
            </w:r>
          </w:p>
        </w:tc>
        <w:tc>
          <w:tcPr>
            <w:tcW w:w="689"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57.33</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23.40</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7.63×10</w:t>
            </w:r>
            <w:r>
              <w:rPr>
                <w:rFonts w:hint="eastAsia" w:ascii="楷体_GB2312" w:hAnsi="楷体_GB2312" w:eastAsia="楷体_GB2312" w:cs="楷体_GB2312"/>
                <w:color w:val="auto"/>
                <w:kern w:val="0"/>
                <w:sz w:val="21"/>
                <w:szCs w:val="21"/>
                <w:vertAlign w:val="superscript"/>
                <w14:ligatures w14:val="none"/>
              </w:rPr>
              <w:t>4</w:t>
            </w:r>
          </w:p>
        </w:tc>
        <w:tc>
          <w:tcPr>
            <w:tcW w:w="77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5.15×10</w:t>
            </w:r>
            <w:r>
              <w:rPr>
                <w:rFonts w:hint="eastAsia" w:ascii="楷体_GB2312" w:hAnsi="楷体_GB2312" w:eastAsia="楷体_GB2312" w:cs="楷体_GB2312"/>
                <w:color w:val="auto"/>
                <w:kern w:val="0"/>
                <w:sz w:val="21"/>
                <w:szCs w:val="21"/>
                <w:vertAlign w:val="superscript"/>
                <w14:ligatures w14:val="none"/>
              </w:rPr>
              <w:t>2</w:t>
            </w: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泥岩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75</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72</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泥岩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65</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62</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514"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w:t>
            </w:r>
          </w:p>
        </w:tc>
        <w:tc>
          <w:tcPr>
            <w:tcW w:w="893" w:type="pct"/>
            <w:tcBorders>
              <w:top w:val="single" w:color="000000" w:sz="4" w:space="0"/>
              <w:left w:val="single" w:color="000000" w:sz="4" w:space="0"/>
              <w:bottom w:val="single" w:color="000000" w:sz="4" w:space="0"/>
              <w:right w:val="single" w:color="000000"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53</w:t>
            </w:r>
          </w:p>
        </w:tc>
        <w:tc>
          <w:tcPr>
            <w:tcW w:w="689"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70.10</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28.62</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3.38×10</w:t>
            </w:r>
            <w:r>
              <w:rPr>
                <w:rFonts w:hint="eastAsia" w:ascii="楷体_GB2312" w:hAnsi="楷体_GB2312" w:eastAsia="楷体_GB2312" w:cs="楷体_GB2312"/>
                <w:color w:val="auto"/>
                <w:kern w:val="0"/>
                <w:sz w:val="21"/>
                <w:szCs w:val="21"/>
                <w:vertAlign w:val="superscript"/>
                <w14:ligatures w14:val="none"/>
              </w:rPr>
              <w:t>5</w:t>
            </w:r>
          </w:p>
        </w:tc>
        <w:tc>
          <w:tcPr>
            <w:tcW w:w="77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3.50×10</w:t>
            </w:r>
            <w:r>
              <w:rPr>
                <w:rFonts w:hint="eastAsia" w:ascii="楷体_GB2312" w:hAnsi="楷体_GB2312" w:eastAsia="楷体_GB2312" w:cs="楷体_GB2312"/>
                <w:color w:val="auto"/>
                <w:kern w:val="0"/>
                <w:sz w:val="21"/>
                <w:szCs w:val="21"/>
                <w:vertAlign w:val="superscript"/>
                <w14:ligatures w14:val="none"/>
              </w:rPr>
              <w:t>3</w:t>
            </w: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砂质泥岩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49</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粉砂岩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47</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泥岩</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44</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粉砂岩 </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39</w:t>
            </w:r>
          </w:p>
        </w:tc>
        <w:tc>
          <w:tcPr>
            <w:tcW w:w="689"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泥岩 </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37</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粉砂岩 </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35</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砂质泥岩 </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32</w:t>
            </w:r>
          </w:p>
        </w:tc>
        <w:tc>
          <w:tcPr>
            <w:tcW w:w="689"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泥岩 </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5</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27</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粗砂岩 </w:t>
            </w:r>
          </w:p>
        </w:tc>
        <w:tc>
          <w:tcPr>
            <w:tcW w:w="514"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w:t>
            </w:r>
          </w:p>
        </w:tc>
        <w:tc>
          <w:tcPr>
            <w:tcW w:w="893" w:type="pct"/>
            <w:tcBorders>
              <w:top w:val="single" w:color="000000" w:sz="4" w:space="0"/>
              <w:left w:val="single" w:color="000000" w:sz="4" w:space="0"/>
              <w:bottom w:val="single" w:color="000000" w:sz="4" w:space="0"/>
              <w:right w:val="single" w:color="000000"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18</w:t>
            </w:r>
          </w:p>
        </w:tc>
        <w:tc>
          <w:tcPr>
            <w:tcW w:w="689"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51.28</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20.94</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1.80×10</w:t>
            </w:r>
            <w:r>
              <w:rPr>
                <w:rFonts w:hint="eastAsia" w:ascii="楷体_GB2312" w:hAnsi="楷体_GB2312" w:eastAsia="楷体_GB2312" w:cs="楷体_GB2312"/>
                <w:color w:val="auto"/>
                <w:kern w:val="0"/>
                <w:sz w:val="21"/>
                <w:szCs w:val="21"/>
                <w:vertAlign w:val="superscript"/>
                <w14:ligatures w14:val="none"/>
              </w:rPr>
              <w:t>5</w:t>
            </w:r>
          </w:p>
        </w:tc>
        <w:tc>
          <w:tcPr>
            <w:tcW w:w="77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6.46×10</w:t>
            </w:r>
            <w:r>
              <w:rPr>
                <w:rFonts w:hint="eastAsia" w:ascii="楷体_GB2312" w:hAnsi="楷体_GB2312" w:eastAsia="楷体_GB2312" w:cs="楷体_GB2312"/>
                <w:color w:val="auto"/>
                <w:kern w:val="0"/>
                <w:sz w:val="21"/>
                <w:szCs w:val="21"/>
                <w:vertAlign w:val="superscript"/>
                <w14:ligatures w14:val="none"/>
              </w:rPr>
              <w:t>3</w:t>
            </w: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灰岩 </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3</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15</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粗砂岩 </w:t>
            </w:r>
          </w:p>
        </w:tc>
        <w:tc>
          <w:tcPr>
            <w:tcW w:w="514" w:type="pct"/>
            <w:tcBorders>
              <w:top w:val="single" w:color="000000" w:sz="4" w:space="0"/>
              <w:left w:val="single" w:color="000000" w:sz="4" w:space="0"/>
              <w:right w:val="single" w:color="000000" w:sz="4" w:space="0"/>
            </w:tcBorders>
            <w:noWrap/>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right w:val="single" w:color="000000" w:sz="4" w:space="0"/>
            </w:tcBorders>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13</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灰岩 </w:t>
            </w:r>
          </w:p>
        </w:tc>
        <w:tc>
          <w:tcPr>
            <w:tcW w:w="514" w:type="pct"/>
            <w:tcBorders>
              <w:top w:val="single" w:color="000000" w:sz="4" w:space="0"/>
              <w:left w:val="single" w:color="000000" w:sz="4" w:space="0"/>
              <w:right w:val="single" w:color="000000" w:sz="4" w:space="0"/>
            </w:tcBorders>
            <w:noWrap/>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right w:val="single" w:color="000000" w:sz="4" w:space="0"/>
            </w:tcBorders>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11</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细砂岩 </w:t>
            </w:r>
          </w:p>
        </w:tc>
        <w:tc>
          <w:tcPr>
            <w:tcW w:w="514" w:type="pct"/>
            <w:tcBorders>
              <w:top w:val="single" w:color="000000" w:sz="4" w:space="0"/>
              <w:left w:val="single" w:color="000000" w:sz="4" w:space="0"/>
              <w:right w:val="single" w:color="000000" w:sz="4" w:space="0"/>
            </w:tcBorders>
            <w:noWrap/>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right w:val="single" w:color="000000" w:sz="4" w:space="0"/>
            </w:tcBorders>
            <w:vAlign w:val="center"/>
          </w:tcPr>
          <w:p>
            <w:pPr>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9</w:t>
            </w:r>
          </w:p>
        </w:tc>
        <w:tc>
          <w:tcPr>
            <w:tcW w:w="689" w:type="pct"/>
            <w:tcBorders>
              <w:top w:val="single" w:color="000000" w:sz="4" w:space="0"/>
              <w:left w:val="nil"/>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right w:val="single" w:color="auto"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粗砂岩 </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2</w:t>
            </w:r>
          </w:p>
        </w:tc>
        <w:tc>
          <w:tcPr>
            <w:tcW w:w="893" w:type="pc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w:t>
            </w:r>
          </w:p>
        </w:tc>
        <w:tc>
          <w:tcPr>
            <w:tcW w:w="689" w:type="pct"/>
            <w:tcBorders>
              <w:top w:val="single" w:color="000000" w:sz="4" w:space="0"/>
              <w:left w:val="nil"/>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single" w:color="auto" w:sz="4" w:space="0"/>
              <w:bottom w:val="single" w:color="000000" w:sz="4" w:space="0"/>
              <w:right w:val="single" w:color="auto" w:sz="4" w:space="0"/>
            </w:tcBorders>
            <w:shd w:val="clear" w:color="auto" w:fill="FFFFFF" w:themeFill="background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 xml:space="preserve">细砂岩 </w:t>
            </w:r>
          </w:p>
        </w:tc>
        <w:tc>
          <w:tcPr>
            <w:tcW w:w="514" w:type="pct"/>
            <w:tcBorders>
              <w:top w:val="single" w:color="000000" w:sz="4" w:space="0"/>
              <w:left w:val="single" w:color="000000" w:sz="4" w:space="0"/>
              <w:bottom w:val="single" w:color="000000" w:sz="4" w:space="0"/>
              <w:right w:val="single" w:color="000000" w:sz="4" w:space="0"/>
            </w:tcBorders>
            <w:shd w:val="clear" w:color="auto" w:fill="FFC000"/>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7</w:t>
            </w:r>
          </w:p>
        </w:tc>
        <w:tc>
          <w:tcPr>
            <w:tcW w:w="893" w:type="pct"/>
            <w:tcBorders>
              <w:top w:val="single" w:color="000000" w:sz="4" w:space="0"/>
              <w:left w:val="single" w:color="000000" w:sz="4" w:space="0"/>
              <w:bottom w:val="single" w:color="000000" w:sz="4" w:space="0"/>
              <w:right w:val="single" w:color="000000"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sz w:val="21"/>
                <w:szCs w:val="21"/>
              </w:rPr>
              <w:t>0</w:t>
            </w:r>
          </w:p>
        </w:tc>
        <w:tc>
          <w:tcPr>
            <w:tcW w:w="689" w:type="pct"/>
            <w:tcBorders>
              <w:top w:val="single" w:color="000000" w:sz="4" w:space="0"/>
              <w:left w:val="nil"/>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42.27</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17.26</w:t>
            </w:r>
          </w:p>
        </w:tc>
        <w:tc>
          <w:tcPr>
            <w:tcW w:w="689"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vertAlign w:val="superscript"/>
                <w14:ligatures w14:val="none"/>
              </w:rPr>
            </w:pPr>
            <w:r>
              <w:rPr>
                <w:rFonts w:hint="eastAsia" w:ascii="楷体_GB2312" w:hAnsi="楷体_GB2312" w:eastAsia="楷体_GB2312" w:cs="楷体_GB2312"/>
                <w:color w:val="auto"/>
                <w:kern w:val="0"/>
                <w:sz w:val="21"/>
                <w:szCs w:val="21"/>
                <w14:ligatures w14:val="none"/>
              </w:rPr>
              <w:t>3.23×10</w:t>
            </w:r>
            <w:r>
              <w:rPr>
                <w:rFonts w:hint="eastAsia" w:ascii="楷体_GB2312" w:hAnsi="楷体_GB2312" w:eastAsia="楷体_GB2312" w:cs="楷体_GB2312"/>
                <w:color w:val="auto"/>
                <w:kern w:val="0"/>
                <w:sz w:val="21"/>
                <w:szCs w:val="21"/>
                <w:vertAlign w:val="superscript"/>
                <w14:ligatures w14:val="none"/>
              </w:rPr>
              <w:t>4</w:t>
            </w:r>
          </w:p>
        </w:tc>
        <w:tc>
          <w:tcPr>
            <w:tcW w:w="777" w:type="pct"/>
            <w:tcBorders>
              <w:top w:val="single" w:color="000000" w:sz="4" w:space="0"/>
              <w:left w:val="single" w:color="auto" w:sz="4" w:space="0"/>
              <w:bottom w:val="single" w:color="000000" w:sz="4" w:space="0"/>
              <w:right w:val="single" w:color="auto" w:sz="4" w:space="0"/>
            </w:tcBorders>
            <w:shd w:val="clear" w:color="auto" w:fill="FFC000"/>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3.23×10</w:t>
            </w:r>
            <w:r>
              <w:rPr>
                <w:rFonts w:hint="eastAsia" w:ascii="楷体_GB2312" w:hAnsi="楷体_GB2312" w:eastAsia="楷体_GB2312" w:cs="楷体_GB2312"/>
                <w:color w:val="auto"/>
                <w:kern w:val="0"/>
                <w:sz w:val="21"/>
                <w:szCs w:val="21"/>
                <w:vertAlign w:val="superscript"/>
                <w14:ligatures w14:val="none"/>
              </w:rPr>
              <w:t>4</w:t>
            </w:r>
          </w:p>
        </w:tc>
      </w:tr>
      <w:tr>
        <w:tblPrEx>
          <w:tblCellMar>
            <w:top w:w="0" w:type="dxa"/>
            <w:left w:w="108" w:type="dxa"/>
            <w:bottom w:w="0" w:type="dxa"/>
            <w:right w:w="108" w:type="dxa"/>
          </w:tblCellMar>
        </w:tblPrEx>
        <w:trPr>
          <w:trHeight w:val="397" w:hRule="atLeast"/>
          <w:jc w:val="center"/>
        </w:trPr>
        <w:tc>
          <w:tcPr>
            <w:tcW w:w="746"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煤</w:t>
            </w:r>
          </w:p>
        </w:tc>
        <w:tc>
          <w:tcPr>
            <w:tcW w:w="514" w:type="pct"/>
            <w:tcBorders>
              <w:top w:val="single" w:color="000000" w:sz="4" w:space="0"/>
              <w:left w:val="single" w:color="000000" w:sz="4" w:space="0"/>
              <w:bottom w:val="single" w:color="000000" w:sz="4" w:space="0"/>
              <w:right w:val="single" w:color="000000" w:sz="4" w:space="0"/>
            </w:tcBorders>
            <w:noWrap/>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r>
              <w:rPr>
                <w:rFonts w:hint="eastAsia" w:ascii="楷体_GB2312" w:hAnsi="楷体_GB2312" w:eastAsia="楷体_GB2312" w:cs="楷体_GB2312"/>
                <w:color w:val="auto"/>
                <w:kern w:val="0"/>
                <w:sz w:val="21"/>
                <w:szCs w:val="21"/>
                <w14:ligatures w14:val="none"/>
              </w:rPr>
              <w:t>23.69</w:t>
            </w:r>
          </w:p>
        </w:tc>
        <w:tc>
          <w:tcPr>
            <w:tcW w:w="893" w:type="pct"/>
            <w:tcBorders>
              <w:top w:val="single" w:color="000000" w:sz="4" w:space="0"/>
              <w:left w:val="single" w:color="000000" w:sz="4" w:space="0"/>
              <w:bottom w:val="single" w:color="000000" w:sz="4" w:space="0"/>
              <w:right w:val="single" w:color="000000" w:sz="4" w:space="0"/>
            </w:tcBorders>
            <w:shd w:val="clear" w:color="auto" w:fill="000000" w:themeFill="text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nil"/>
              <w:bottom w:val="single" w:color="000000" w:sz="4" w:space="0"/>
              <w:right w:val="nil"/>
            </w:tcBorders>
            <w:shd w:val="clear" w:color="auto" w:fill="000000" w:themeFill="text1"/>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nil"/>
              <w:bottom w:val="single" w:color="000000" w:sz="4" w:space="0"/>
              <w:right w:val="nil"/>
            </w:tcBorders>
            <w:shd w:val="clear" w:color="auto" w:fill="000000" w:themeFill="text1"/>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689" w:type="pct"/>
            <w:tcBorders>
              <w:top w:val="single" w:color="000000" w:sz="4" w:space="0"/>
              <w:left w:val="nil"/>
              <w:bottom w:val="single" w:color="000000" w:sz="4" w:space="0"/>
              <w:right w:val="single" w:color="auto" w:sz="4" w:space="0"/>
            </w:tcBorders>
            <w:shd w:val="clear" w:color="auto" w:fill="000000" w:themeFill="text1"/>
            <w:vAlign w:val="center"/>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c>
          <w:tcPr>
            <w:tcW w:w="777" w:type="pct"/>
            <w:tcBorders>
              <w:top w:val="single" w:color="000000" w:sz="4" w:space="0"/>
              <w:left w:val="nil"/>
              <w:bottom w:val="single" w:color="000000" w:sz="4" w:space="0"/>
              <w:right w:val="single" w:color="auto" w:sz="4" w:space="0"/>
            </w:tcBorders>
            <w:shd w:val="clear" w:color="auto" w:fill="000000" w:themeFill="text1"/>
          </w:tcPr>
          <w:p>
            <w:pPr>
              <w:widowControl/>
              <w:spacing w:line="240" w:lineRule="auto"/>
              <w:ind w:firstLine="0" w:firstLineChars="0"/>
              <w:jc w:val="center"/>
              <w:rPr>
                <w:rFonts w:hint="eastAsia" w:ascii="楷体_GB2312" w:hAnsi="楷体_GB2312" w:eastAsia="楷体_GB2312" w:cs="楷体_GB2312"/>
                <w:color w:val="auto"/>
                <w:kern w:val="0"/>
                <w:sz w:val="21"/>
                <w:szCs w:val="21"/>
                <w14:ligatures w14:val="none"/>
              </w:rPr>
            </w:pPr>
          </w:p>
        </w:tc>
      </w:tr>
    </w:tbl>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eastAsia="宋体" w:cstheme="minorEastAsia"/>
          <w:color w:val="auto"/>
          <w:kern w:val="2"/>
          <w:sz w:val="24"/>
          <w:szCs w:val="24"/>
          <w:lang w:val="en-US" w:eastAsia="zh-CN" w:bidi="ar-SA"/>
        </w:rPr>
        <w:t>由表可知，距煤层上方第一层及第二层厚硬岩层为低位关键层，由于离1煤距离较近，该岩层破断后释放的能量传递至煤层中的能量衰减较小，特别是第一层厚硬岩层，破断时传递至工作面的能量仍可达到10</w:t>
      </w:r>
      <w:r>
        <w:rPr>
          <w:rFonts w:hint="eastAsia" w:ascii="宋体" w:hAnsi="宋体" w:eastAsia="宋体" w:cstheme="minorEastAsia"/>
          <w:color w:val="auto"/>
          <w:kern w:val="2"/>
          <w:sz w:val="24"/>
          <w:szCs w:val="24"/>
          <w:vertAlign w:val="superscript"/>
          <w:lang w:val="en-US" w:eastAsia="zh-CN" w:bidi="ar-SA"/>
        </w:rPr>
        <w:t>4</w:t>
      </w:r>
      <w:r>
        <w:rPr>
          <w:rFonts w:hint="eastAsia" w:ascii="宋体" w:hAnsi="宋体" w:eastAsia="宋体" w:cstheme="minorEastAsia"/>
          <w:color w:val="auto"/>
          <w:kern w:val="2"/>
          <w:sz w:val="24"/>
          <w:szCs w:val="24"/>
          <w:lang w:val="en-US" w:eastAsia="zh-CN" w:bidi="ar-SA"/>
        </w:rPr>
        <w:t>J级易诱发工作面强矿压动力灾害。上覆岩层中第三层及第四层厚硬岩层，分别为中位及高位关键层，两关键层破断释放的能量（岩层结构致密条件下）传递至煤层内衰减至</w:t>
      </w:r>
      <w:bookmarkStart w:id="105" w:name="_Hlk203389136"/>
      <w:r>
        <w:rPr>
          <w:rFonts w:hint="eastAsia" w:ascii="宋体" w:hAnsi="宋体" w:cstheme="minorEastAsia"/>
          <w:color w:val="auto"/>
          <w:kern w:val="2"/>
          <w:sz w:val="24"/>
          <w:szCs w:val="24"/>
          <w:lang w:val="en-US" w:eastAsia="zh-CN" w:bidi="ar-SA"/>
        </w:rPr>
        <w:t>10</w:t>
      </w:r>
      <w:r>
        <w:rPr>
          <w:rFonts w:hint="eastAsia" w:ascii="宋体" w:hAnsi="宋体" w:cstheme="minorEastAsia"/>
          <w:color w:val="auto"/>
          <w:kern w:val="2"/>
          <w:sz w:val="24"/>
          <w:szCs w:val="24"/>
          <w:vertAlign w:val="superscript"/>
          <w:lang w:val="en-US" w:eastAsia="zh-CN" w:bidi="ar-SA"/>
        </w:rPr>
        <w:t>2</w:t>
      </w:r>
      <w:r>
        <w:rPr>
          <w:rFonts w:hint="eastAsia" w:ascii="宋体" w:hAnsi="宋体" w:eastAsia="宋体" w:cstheme="minorEastAsia"/>
          <w:color w:val="auto"/>
          <w:kern w:val="2"/>
          <w:sz w:val="24"/>
          <w:szCs w:val="24"/>
          <w:lang w:val="en-US" w:eastAsia="zh-CN" w:bidi="ar-SA"/>
        </w:rPr>
        <w:t>～</w:t>
      </w:r>
      <w:bookmarkEnd w:id="105"/>
      <w:r>
        <w:rPr>
          <w:rFonts w:hint="eastAsia" w:ascii="宋体" w:hAnsi="宋体" w:cstheme="minorEastAsia"/>
          <w:color w:val="auto"/>
          <w:kern w:val="2"/>
          <w:sz w:val="24"/>
          <w:szCs w:val="24"/>
          <w:lang w:val="en-US" w:eastAsia="zh-CN" w:bidi="ar-SA"/>
        </w:rPr>
        <w:t>10</w:t>
      </w:r>
      <w:r>
        <w:rPr>
          <w:rFonts w:hint="eastAsia" w:ascii="宋体" w:hAnsi="宋体" w:cstheme="minorEastAsia"/>
          <w:color w:val="auto"/>
          <w:kern w:val="2"/>
          <w:sz w:val="24"/>
          <w:szCs w:val="24"/>
          <w:vertAlign w:val="superscript"/>
          <w:lang w:val="en-US" w:eastAsia="zh-CN" w:bidi="ar-SA"/>
        </w:rPr>
        <w:t>3</w:t>
      </w:r>
      <w:r>
        <w:rPr>
          <w:rFonts w:hint="eastAsia" w:ascii="宋体" w:hAnsi="宋体" w:cstheme="minorEastAsia"/>
          <w:color w:val="auto"/>
          <w:kern w:val="2"/>
          <w:sz w:val="24"/>
          <w:szCs w:val="24"/>
          <w:vertAlign w:val="baseline"/>
          <w:lang w:val="en-US" w:eastAsia="zh-CN" w:bidi="ar-SA"/>
        </w:rPr>
        <w:t>J</w:t>
      </w:r>
      <w:r>
        <w:rPr>
          <w:rFonts w:hint="eastAsia" w:ascii="宋体" w:hAnsi="宋体" w:eastAsia="宋体" w:cstheme="minorEastAsia"/>
          <w:color w:val="auto"/>
          <w:kern w:val="2"/>
          <w:sz w:val="24"/>
          <w:szCs w:val="24"/>
          <w:lang w:val="en-US" w:eastAsia="zh-CN" w:bidi="ar-SA"/>
        </w:rPr>
        <w:t>。根据上述分析认为距离煤层0～7m与18～27m的低位关键层、53～62m的中位关键层及77～85m的高位关键层破断时对工作面的影响较大，为矿压主控关键层。</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cstheme="minorEastAsia"/>
          <w:color w:val="auto"/>
          <w:kern w:val="2"/>
          <w:sz w:val="24"/>
          <w:szCs w:val="24"/>
          <w:lang w:val="en-US" w:eastAsia="zh-CN" w:bidi="ar-SA"/>
        </w:rPr>
        <w:t>（三）</w:t>
      </w:r>
      <w:r>
        <w:rPr>
          <w:rFonts w:hint="eastAsia" w:ascii="宋体" w:hAnsi="宋体" w:eastAsia="宋体" w:cstheme="minorEastAsia"/>
          <w:color w:val="auto"/>
          <w:kern w:val="2"/>
          <w:sz w:val="24"/>
          <w:szCs w:val="24"/>
          <w:lang w:val="en-US" w:eastAsia="zh-CN" w:bidi="ar-SA"/>
        </w:rPr>
        <w:t>南101工作面钻孔</w:t>
      </w:r>
      <w:r>
        <w:rPr>
          <w:rFonts w:hint="eastAsia" w:ascii="宋体" w:hAnsi="宋体" w:cstheme="minorEastAsia"/>
          <w:color w:val="auto"/>
          <w:kern w:val="2"/>
          <w:sz w:val="24"/>
          <w:szCs w:val="24"/>
          <w:lang w:val="en-US" w:eastAsia="zh-CN" w:bidi="ar-SA"/>
        </w:rPr>
        <w:t>与</w:t>
      </w:r>
      <w:r>
        <w:rPr>
          <w:rFonts w:hint="eastAsia" w:ascii="宋体" w:hAnsi="宋体" w:eastAsia="宋体" w:cstheme="minorEastAsia"/>
          <w:color w:val="auto"/>
          <w:kern w:val="2"/>
          <w:sz w:val="24"/>
          <w:szCs w:val="24"/>
          <w:lang w:val="en-US" w:eastAsia="zh-CN" w:bidi="ar-SA"/>
        </w:rPr>
        <w:t>南103</w:t>
      </w:r>
      <w:r>
        <w:rPr>
          <w:rFonts w:hint="eastAsia" w:ascii="宋体" w:hAnsi="宋体" w:eastAsia="宋体" w:cstheme="minorEastAsia"/>
          <w:color w:val="auto"/>
          <w:kern w:val="2"/>
          <w:sz w:val="24"/>
          <w:szCs w:val="24"/>
          <w:vertAlign w:val="superscript"/>
          <w:lang w:val="en-US" w:eastAsia="zh-CN" w:bidi="ar-SA"/>
        </w:rPr>
        <w:t>-1</w:t>
      </w:r>
      <w:r>
        <w:rPr>
          <w:rFonts w:hint="eastAsia" w:ascii="宋体" w:hAnsi="宋体" w:eastAsia="宋体" w:cstheme="minorEastAsia"/>
          <w:color w:val="auto"/>
          <w:kern w:val="2"/>
          <w:sz w:val="24"/>
          <w:szCs w:val="24"/>
          <w:lang w:val="en-US" w:eastAsia="zh-CN" w:bidi="ar-SA"/>
        </w:rPr>
        <w:t>工作面钻孔覆岩结构特征对比分析</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eastAsia="宋体" w:cstheme="minorEastAsia"/>
          <w:color w:val="auto"/>
          <w:kern w:val="2"/>
          <w:sz w:val="24"/>
          <w:szCs w:val="24"/>
          <w:lang w:val="en-US" w:eastAsia="zh-CN" w:bidi="ar-SA"/>
        </w:rPr>
        <w:t>上述分析计算得到南101工作面及南103</w:t>
      </w:r>
      <w:r>
        <w:rPr>
          <w:rFonts w:hint="eastAsia" w:ascii="宋体" w:hAnsi="宋体" w:eastAsia="宋体" w:cstheme="minorEastAsia"/>
          <w:color w:val="auto"/>
          <w:kern w:val="2"/>
          <w:sz w:val="24"/>
          <w:szCs w:val="24"/>
          <w:vertAlign w:val="superscript"/>
          <w:lang w:val="en-US" w:eastAsia="zh-CN" w:bidi="ar-SA"/>
        </w:rPr>
        <w:t>-1</w:t>
      </w:r>
      <w:r>
        <w:rPr>
          <w:rFonts w:hint="eastAsia" w:ascii="宋体" w:hAnsi="宋体" w:eastAsia="宋体" w:cstheme="minorEastAsia"/>
          <w:color w:val="auto"/>
          <w:kern w:val="2"/>
          <w:sz w:val="24"/>
          <w:szCs w:val="24"/>
          <w:lang w:val="en-US" w:eastAsia="zh-CN" w:bidi="ar-SA"/>
        </w:rPr>
        <w:t>工作面覆岩结构特征，下面对两钻孔进行对比，分析可知：</w:t>
      </w:r>
    </w:p>
    <w:p>
      <w:pPr>
        <w:pStyle w:val="57"/>
        <w:keepNext w:val="0"/>
        <w:keepLines w:val="0"/>
        <w:pageBreakBefore w:val="0"/>
        <w:widowControl w:val="0"/>
        <w:kinsoku/>
        <w:wordWrap/>
        <w:overflowPunct/>
        <w:topLinePunct w:val="0"/>
        <w:autoSpaceDE/>
        <w:autoSpaceDN/>
        <w:bidi w:val="0"/>
        <w:adjustRightInd/>
        <w:snapToGrid/>
        <w:ind w:left="0" w:leftChars="0" w:firstLine="0" w:firstLineChars="0"/>
        <w:jc w:val="both"/>
        <w:textAlignment w:val="auto"/>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表2-1-5                      两钻孔覆岩关键层位对比表</w:t>
      </w:r>
    </w:p>
    <w:tbl>
      <w:tblPr>
        <w:tblStyle w:val="2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5"/>
        <w:gridCol w:w="698"/>
        <w:gridCol w:w="1125"/>
        <w:gridCol w:w="973"/>
        <w:gridCol w:w="1682"/>
        <w:gridCol w:w="1454"/>
        <w:gridCol w:w="2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钻孔位置</w:t>
            </w:r>
          </w:p>
        </w:tc>
        <w:tc>
          <w:tcPr>
            <w:tcW w:w="37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层位</w:t>
            </w: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岩性</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厚度（m）</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与煤层距离（m）</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积聚能量（J）</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传递至煤体能量（J）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restar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南101</w:t>
            </w:r>
          </w:p>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工作面</w:t>
            </w:r>
          </w:p>
        </w:tc>
        <w:tc>
          <w:tcPr>
            <w:tcW w:w="37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高位</w:t>
            </w: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粉砂岩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8</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64</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3.43×10</w:t>
            </w:r>
            <w:r>
              <w:rPr>
                <w:rFonts w:hint="eastAsia" w:ascii="楷体_GB2312" w:hAnsi="楷体_GB2312" w:eastAsia="楷体_GB2312" w:cs="楷体_GB2312"/>
                <w:b w:val="0"/>
                <w:bCs/>
                <w:color w:val="auto"/>
                <w:sz w:val="21"/>
                <w:szCs w:val="21"/>
                <w:vertAlign w:val="superscript"/>
              </w:rPr>
              <w:t>5</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2.86×10</w:t>
            </w:r>
            <w:r>
              <w:rPr>
                <w:rFonts w:hint="eastAsia" w:ascii="楷体_GB2312" w:hAnsi="楷体_GB2312" w:eastAsia="楷体_GB2312" w:cs="楷体_GB2312"/>
                <w:b w:val="0"/>
                <w:bCs/>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37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中位</w:t>
            </w: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粉砂岩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9</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45</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6.52×10</w:t>
            </w:r>
            <w:r>
              <w:rPr>
                <w:rFonts w:hint="eastAsia" w:ascii="楷体_GB2312" w:hAnsi="楷体_GB2312" w:eastAsia="楷体_GB2312" w:cs="楷体_GB2312"/>
                <w:b w:val="0"/>
                <w:bCs/>
                <w:color w:val="auto"/>
                <w:sz w:val="21"/>
                <w:szCs w:val="21"/>
                <w:vertAlign w:val="superscript"/>
              </w:rPr>
              <w:t>5</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8.16×10</w:t>
            </w:r>
            <w:r>
              <w:rPr>
                <w:rFonts w:hint="eastAsia" w:ascii="楷体_GB2312" w:hAnsi="楷体_GB2312" w:eastAsia="楷体_GB2312" w:cs="楷体_GB2312"/>
                <w:b w:val="0"/>
                <w:bCs/>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376" w:type="pct"/>
            <w:vMerge w:val="restar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低位</w:t>
            </w: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粉砂岩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9</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11</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4.38×10</w:t>
            </w:r>
            <w:r>
              <w:rPr>
                <w:rFonts w:hint="eastAsia" w:ascii="楷体_GB2312" w:hAnsi="楷体_GB2312" w:eastAsia="楷体_GB2312" w:cs="楷体_GB2312"/>
                <w:b w:val="0"/>
                <w:bCs/>
                <w:color w:val="auto"/>
                <w:sz w:val="21"/>
                <w:szCs w:val="21"/>
                <w:vertAlign w:val="superscript"/>
              </w:rPr>
              <w:t>5</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1.94×10</w:t>
            </w:r>
            <w:r>
              <w:rPr>
                <w:rFonts w:hint="eastAsia" w:ascii="楷体_GB2312" w:hAnsi="楷体_GB2312" w:eastAsia="楷体_GB2312" w:cs="楷体_GB2312"/>
                <w:b w:val="0"/>
                <w:bCs/>
                <w:color w:val="auto"/>
                <w:sz w:val="21"/>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376"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石英砂岩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6</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0</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6.21×10</w:t>
            </w:r>
            <w:r>
              <w:rPr>
                <w:rFonts w:hint="eastAsia" w:ascii="楷体_GB2312" w:hAnsi="楷体_GB2312" w:eastAsia="楷体_GB2312" w:cs="楷体_GB2312"/>
                <w:b w:val="0"/>
                <w:bCs/>
                <w:color w:val="auto"/>
                <w:sz w:val="21"/>
                <w:szCs w:val="21"/>
                <w:vertAlign w:val="superscript"/>
              </w:rPr>
              <w:t>4</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6.21×10</w:t>
            </w:r>
            <w:r>
              <w:rPr>
                <w:rFonts w:hint="eastAsia" w:ascii="楷体_GB2312" w:hAnsi="楷体_GB2312" w:eastAsia="楷体_GB2312" w:cs="楷体_GB2312"/>
                <w:b w:val="0"/>
                <w:bCs/>
                <w:color w:val="auto"/>
                <w:sz w:val="21"/>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restar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vertAlign w:val="superscript"/>
              </w:rPr>
            </w:pPr>
            <w:r>
              <w:rPr>
                <w:rFonts w:hint="eastAsia" w:ascii="楷体_GB2312" w:hAnsi="楷体_GB2312" w:eastAsia="楷体_GB2312" w:cs="楷体_GB2312"/>
                <w:b w:val="0"/>
                <w:bCs/>
                <w:color w:val="auto"/>
                <w:sz w:val="21"/>
                <w:szCs w:val="21"/>
              </w:rPr>
              <w:t>南103</w:t>
            </w:r>
            <w:r>
              <w:rPr>
                <w:rFonts w:hint="eastAsia" w:ascii="楷体_GB2312" w:hAnsi="楷体_GB2312" w:eastAsia="楷体_GB2312" w:cs="楷体_GB2312"/>
                <w:b w:val="0"/>
                <w:bCs/>
                <w:color w:val="auto"/>
                <w:sz w:val="21"/>
                <w:szCs w:val="21"/>
                <w:vertAlign w:val="superscript"/>
              </w:rPr>
              <w:t>-1</w:t>
            </w:r>
          </w:p>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工作面</w:t>
            </w:r>
          </w:p>
        </w:tc>
        <w:tc>
          <w:tcPr>
            <w:tcW w:w="37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高位</w:t>
            </w: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粉砂岩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8</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77</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7.63×10</w:t>
            </w:r>
            <w:r>
              <w:rPr>
                <w:rFonts w:hint="eastAsia" w:ascii="楷体_GB2312" w:hAnsi="楷体_GB2312" w:eastAsia="楷体_GB2312" w:cs="楷体_GB2312"/>
                <w:b w:val="0"/>
                <w:bCs/>
                <w:color w:val="auto"/>
                <w:sz w:val="21"/>
                <w:szCs w:val="21"/>
                <w:vertAlign w:val="superscript"/>
              </w:rPr>
              <w:t>4</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5.15×10</w:t>
            </w:r>
            <w:r>
              <w:rPr>
                <w:rFonts w:hint="eastAsia" w:ascii="楷体_GB2312" w:hAnsi="楷体_GB2312" w:eastAsia="楷体_GB2312" w:cs="楷体_GB2312"/>
                <w:b w:val="0"/>
                <w:bCs/>
                <w:color w:val="auto"/>
                <w:sz w:val="2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37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中位</w:t>
            </w: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粉砂岩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9</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53</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3.38×10</w:t>
            </w:r>
            <w:r>
              <w:rPr>
                <w:rFonts w:hint="eastAsia" w:ascii="楷体_GB2312" w:hAnsi="楷体_GB2312" w:eastAsia="楷体_GB2312" w:cs="楷体_GB2312"/>
                <w:b w:val="0"/>
                <w:bCs/>
                <w:color w:val="auto"/>
                <w:sz w:val="21"/>
                <w:szCs w:val="21"/>
                <w:vertAlign w:val="superscript"/>
              </w:rPr>
              <w:t>5</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3.50×10</w:t>
            </w:r>
            <w:r>
              <w:rPr>
                <w:rFonts w:hint="eastAsia" w:ascii="楷体_GB2312" w:hAnsi="楷体_GB2312" w:eastAsia="楷体_GB2312" w:cs="楷体_GB2312"/>
                <w:b w:val="0"/>
                <w:bCs/>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376" w:type="pct"/>
            <w:vMerge w:val="restar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低位</w:t>
            </w: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粗砂岩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9</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18</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1.80×10</w:t>
            </w:r>
            <w:r>
              <w:rPr>
                <w:rFonts w:hint="eastAsia" w:ascii="楷体_GB2312" w:hAnsi="楷体_GB2312" w:eastAsia="楷体_GB2312" w:cs="楷体_GB2312"/>
                <w:b w:val="0"/>
                <w:bCs/>
                <w:color w:val="auto"/>
                <w:sz w:val="21"/>
                <w:szCs w:val="21"/>
                <w:vertAlign w:val="superscript"/>
              </w:rPr>
              <w:t>5</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6.46×10</w:t>
            </w:r>
            <w:r>
              <w:rPr>
                <w:rFonts w:hint="eastAsia" w:ascii="楷体_GB2312" w:hAnsi="楷体_GB2312" w:eastAsia="楷体_GB2312" w:cs="楷体_GB2312"/>
                <w:b w:val="0"/>
                <w:bCs/>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8"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376" w:type="pct"/>
            <w:vMerge w:val="continue"/>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p>
        </w:tc>
        <w:tc>
          <w:tcPr>
            <w:tcW w:w="6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细砂岩</w:t>
            </w:r>
          </w:p>
        </w:tc>
        <w:tc>
          <w:tcPr>
            <w:tcW w:w="524"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7</w:t>
            </w:r>
          </w:p>
        </w:tc>
        <w:tc>
          <w:tcPr>
            <w:tcW w:w="906"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0</w:t>
            </w:r>
          </w:p>
        </w:tc>
        <w:tc>
          <w:tcPr>
            <w:tcW w:w="783"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3.23×10</w:t>
            </w:r>
            <w:r>
              <w:rPr>
                <w:rFonts w:hint="eastAsia" w:ascii="楷体_GB2312" w:hAnsi="楷体_GB2312" w:eastAsia="楷体_GB2312" w:cs="楷体_GB2312"/>
                <w:b w:val="0"/>
                <w:bCs/>
                <w:color w:val="auto"/>
                <w:sz w:val="21"/>
                <w:szCs w:val="21"/>
                <w:vertAlign w:val="superscript"/>
              </w:rPr>
              <w:t>4</w:t>
            </w:r>
          </w:p>
        </w:tc>
        <w:tc>
          <w:tcPr>
            <w:tcW w:w="1095" w:type="pct"/>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3.23×10</w:t>
            </w:r>
            <w:r>
              <w:rPr>
                <w:rFonts w:hint="eastAsia" w:ascii="楷体_GB2312" w:hAnsi="楷体_GB2312" w:eastAsia="楷体_GB2312" w:cs="楷体_GB2312"/>
                <w:b w:val="0"/>
                <w:bCs/>
                <w:color w:val="auto"/>
                <w:sz w:val="21"/>
                <w:szCs w:val="21"/>
                <w:vertAlign w:val="superscript"/>
              </w:rPr>
              <w:t>4</w:t>
            </w:r>
          </w:p>
        </w:tc>
      </w:tr>
    </w:tbl>
    <w:p>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宋体" w:hAnsi="宋体" w:cstheme="minorEastAsia"/>
          <w:color w:val="auto"/>
          <w:kern w:val="2"/>
          <w:sz w:val="24"/>
          <w:szCs w:val="24"/>
          <w:lang w:val="en-US" w:eastAsia="zh-CN" w:bidi="ar-SA"/>
        </w:rPr>
      </w:pPr>
      <w:r>
        <w:rPr>
          <w:color w:val="auto"/>
        </w:rPr>
        <w:drawing>
          <wp:anchor distT="0" distB="0" distL="114300" distR="114300" simplePos="0" relativeHeight="251700224" behindDoc="0" locked="0" layoutInCell="1" allowOverlap="1">
            <wp:simplePos x="0" y="0"/>
            <wp:positionH relativeFrom="column">
              <wp:posOffset>847725</wp:posOffset>
            </wp:positionH>
            <wp:positionV relativeFrom="paragraph">
              <wp:posOffset>7620</wp:posOffset>
            </wp:positionV>
            <wp:extent cx="4344035" cy="3281680"/>
            <wp:effectExtent l="0" t="0" r="18415" b="13970"/>
            <wp:wrapNone/>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9"/>
                    <pic:cNvPicPr>
                      <a:picLocks noChangeAspect="1"/>
                    </pic:cNvPicPr>
                  </pic:nvPicPr>
                  <pic:blipFill>
                    <a:blip r:embed="rId50"/>
                    <a:stretch>
                      <a:fillRect/>
                    </a:stretch>
                  </pic:blipFill>
                  <pic:spPr>
                    <a:xfrm>
                      <a:off x="0" y="0"/>
                      <a:ext cx="4344035" cy="328168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center"/>
        <w:textAlignment w:val="auto"/>
        <w:rPr>
          <w:rFonts w:hint="default" w:ascii="楷体_GB2312" w:hAnsi="楷体_GB2312" w:eastAsia="楷体_GB2312" w:cs="楷体_GB2312"/>
          <w:color w:val="auto"/>
          <w:kern w:val="2"/>
          <w:sz w:val="24"/>
          <w:szCs w:val="24"/>
          <w:lang w:val="en-US" w:eastAsia="zh-CN" w:bidi="ar-SA"/>
        </w:rPr>
      </w:pPr>
      <w:r>
        <w:rPr>
          <w:rFonts w:hint="eastAsia" w:ascii="楷体_GB2312" w:hAnsi="楷体_GB2312" w:eastAsia="楷体_GB2312" w:cs="楷体_GB2312"/>
          <w:color w:val="auto"/>
          <w:kern w:val="2"/>
          <w:sz w:val="24"/>
          <w:szCs w:val="24"/>
          <w:lang w:val="en-US" w:eastAsia="zh-CN" w:bidi="ar-SA"/>
        </w:rPr>
        <w:t>图2-1-6  两钻孔覆岩关键层位特征对比图</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cstheme="minorEastAsia"/>
          <w:color w:val="auto"/>
          <w:kern w:val="2"/>
          <w:sz w:val="24"/>
          <w:szCs w:val="24"/>
          <w:lang w:val="en-US" w:eastAsia="zh-CN" w:bidi="ar-SA"/>
        </w:rPr>
        <w:t>1.</w:t>
      </w:r>
      <w:r>
        <w:rPr>
          <w:rFonts w:hint="eastAsia" w:ascii="宋体" w:hAnsi="宋体" w:eastAsia="宋体" w:cstheme="minorEastAsia"/>
          <w:color w:val="auto"/>
          <w:kern w:val="2"/>
          <w:sz w:val="24"/>
          <w:szCs w:val="24"/>
          <w:lang w:val="en-US" w:eastAsia="zh-CN" w:bidi="ar-SA"/>
        </w:rPr>
        <w:t>两钻孔覆岩结构特征相似，均存在低位、中位及高位关键层，其中低位赋存两层，中位及高位各赋存一层，且均为砂岩。南101工作面低位关键层位为0～20m范围内，中高位位于45～72m范围内，南103</w:t>
      </w:r>
      <w:r>
        <w:rPr>
          <w:rFonts w:hint="eastAsia" w:ascii="宋体" w:hAnsi="宋体" w:eastAsia="宋体" w:cstheme="minorEastAsia"/>
          <w:color w:val="auto"/>
          <w:kern w:val="2"/>
          <w:sz w:val="24"/>
          <w:szCs w:val="24"/>
          <w:vertAlign w:val="superscript"/>
          <w:lang w:val="en-US" w:eastAsia="zh-CN" w:bidi="ar-SA"/>
        </w:rPr>
        <w:t>-1</w:t>
      </w:r>
      <w:r>
        <w:rPr>
          <w:rFonts w:hint="eastAsia" w:ascii="宋体" w:hAnsi="宋体" w:eastAsia="宋体" w:cstheme="minorEastAsia"/>
          <w:color w:val="auto"/>
          <w:kern w:val="2"/>
          <w:sz w:val="24"/>
          <w:szCs w:val="24"/>
          <w:lang w:val="en-US" w:eastAsia="zh-CN" w:bidi="ar-SA"/>
        </w:rPr>
        <w:t>工作面低位关键层位为0～27m范围内，中高位位于53～85m范围内，可知南103</w:t>
      </w:r>
      <w:r>
        <w:rPr>
          <w:rFonts w:hint="eastAsia" w:ascii="宋体" w:hAnsi="宋体" w:eastAsia="宋体" w:cstheme="minorEastAsia"/>
          <w:color w:val="auto"/>
          <w:kern w:val="2"/>
          <w:sz w:val="24"/>
          <w:szCs w:val="24"/>
          <w:vertAlign w:val="superscript"/>
          <w:lang w:val="en-US" w:eastAsia="zh-CN" w:bidi="ar-SA"/>
        </w:rPr>
        <w:t>-1</w:t>
      </w:r>
      <w:r>
        <w:rPr>
          <w:rFonts w:hint="eastAsia" w:ascii="宋体" w:hAnsi="宋体" w:eastAsia="宋体" w:cstheme="minorEastAsia"/>
          <w:color w:val="auto"/>
          <w:kern w:val="2"/>
          <w:sz w:val="24"/>
          <w:szCs w:val="24"/>
          <w:lang w:val="en-US" w:eastAsia="zh-CN" w:bidi="ar-SA"/>
        </w:rPr>
        <w:t>工作面覆岩各关键层层位相较于南101工作面上升了5～10m，差距并不明显。</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cstheme="minorEastAsia"/>
          <w:color w:val="auto"/>
          <w:kern w:val="2"/>
          <w:sz w:val="24"/>
          <w:szCs w:val="24"/>
          <w:lang w:val="en-US" w:eastAsia="zh-CN" w:bidi="ar-SA"/>
        </w:rPr>
        <w:t>2.</w:t>
      </w:r>
      <w:r>
        <w:rPr>
          <w:rFonts w:hint="eastAsia" w:ascii="宋体" w:hAnsi="宋体" w:eastAsia="宋体" w:cstheme="minorEastAsia"/>
          <w:color w:val="auto"/>
          <w:kern w:val="2"/>
          <w:sz w:val="24"/>
          <w:szCs w:val="24"/>
          <w:lang w:val="en-US" w:eastAsia="zh-CN" w:bidi="ar-SA"/>
        </w:rPr>
        <w:t>两钻孔各关键层破断时传递至煤体的能量均在</w:t>
      </w:r>
      <w:r>
        <w:rPr>
          <w:rFonts w:hint="eastAsia" w:ascii="宋体" w:hAnsi="宋体" w:cstheme="minorEastAsia"/>
          <w:color w:val="auto"/>
          <w:kern w:val="2"/>
          <w:sz w:val="24"/>
          <w:szCs w:val="24"/>
          <w:lang w:val="en-US" w:eastAsia="zh-CN" w:bidi="ar-SA"/>
        </w:rPr>
        <w:t>10</w:t>
      </w:r>
      <w:r>
        <w:rPr>
          <w:rFonts w:hint="eastAsia" w:ascii="宋体" w:hAnsi="宋体" w:cstheme="minorEastAsia"/>
          <w:color w:val="auto"/>
          <w:kern w:val="2"/>
          <w:sz w:val="24"/>
          <w:szCs w:val="24"/>
          <w:vertAlign w:val="superscript"/>
          <w:lang w:val="en-US" w:eastAsia="zh-CN" w:bidi="ar-SA"/>
        </w:rPr>
        <w:t>3</w:t>
      </w:r>
      <w:r>
        <w:rPr>
          <w:rFonts w:hint="eastAsia" w:ascii="宋体" w:hAnsi="宋体" w:eastAsia="宋体" w:cstheme="minorEastAsia"/>
          <w:color w:val="auto"/>
          <w:kern w:val="2"/>
          <w:sz w:val="24"/>
          <w:szCs w:val="24"/>
          <w:lang w:val="en-US" w:eastAsia="zh-CN" w:bidi="ar-SA"/>
        </w:rPr>
        <w:t>～</w:t>
      </w:r>
      <w:r>
        <w:rPr>
          <w:rFonts w:hint="eastAsia" w:ascii="宋体" w:hAnsi="宋体" w:cstheme="minorEastAsia"/>
          <w:color w:val="auto"/>
          <w:kern w:val="2"/>
          <w:sz w:val="24"/>
          <w:szCs w:val="24"/>
          <w:lang w:val="en-US" w:eastAsia="zh-CN" w:bidi="ar-SA"/>
        </w:rPr>
        <w:t>10</w:t>
      </w:r>
      <w:r>
        <w:rPr>
          <w:rFonts w:hint="eastAsia" w:ascii="宋体" w:hAnsi="宋体" w:cstheme="minorEastAsia"/>
          <w:color w:val="auto"/>
          <w:kern w:val="2"/>
          <w:sz w:val="24"/>
          <w:szCs w:val="24"/>
          <w:vertAlign w:val="superscript"/>
          <w:lang w:val="en-US" w:eastAsia="zh-CN" w:bidi="ar-SA"/>
        </w:rPr>
        <w:t>4</w:t>
      </w:r>
      <w:r>
        <w:rPr>
          <w:rFonts w:hint="eastAsia" w:ascii="宋体" w:hAnsi="宋体" w:eastAsia="宋体" w:cstheme="minorEastAsia"/>
          <w:color w:val="auto"/>
          <w:kern w:val="2"/>
          <w:sz w:val="24"/>
          <w:szCs w:val="24"/>
          <w:lang w:val="en-US" w:eastAsia="zh-CN" w:bidi="ar-SA"/>
        </w:rPr>
        <w:t>J范围内，对工作面会产生较大扰动，对其进行弱化控制是矿压防控的关键。南103</w:t>
      </w:r>
      <w:r>
        <w:rPr>
          <w:rFonts w:hint="eastAsia" w:ascii="宋体" w:hAnsi="宋体" w:eastAsia="宋体" w:cstheme="minorEastAsia"/>
          <w:color w:val="auto"/>
          <w:kern w:val="2"/>
          <w:sz w:val="24"/>
          <w:szCs w:val="24"/>
          <w:vertAlign w:val="superscript"/>
          <w:lang w:val="en-US" w:eastAsia="zh-CN" w:bidi="ar-SA"/>
        </w:rPr>
        <w:t>-1</w:t>
      </w:r>
      <w:r>
        <w:rPr>
          <w:rFonts w:hint="eastAsia" w:ascii="宋体" w:hAnsi="宋体" w:eastAsia="宋体" w:cstheme="minorEastAsia"/>
          <w:color w:val="auto"/>
          <w:kern w:val="2"/>
          <w:sz w:val="24"/>
          <w:szCs w:val="24"/>
          <w:lang w:val="en-US" w:eastAsia="zh-CN" w:bidi="ar-SA"/>
        </w:rPr>
        <w:t>工作面高位关键层由于距离煤层较远，能量衰减较大，传递至煤体能量降低至10</w:t>
      </w:r>
      <w:r>
        <w:rPr>
          <w:rFonts w:hint="eastAsia" w:ascii="宋体" w:hAnsi="宋体" w:eastAsia="宋体" w:cstheme="minorEastAsia"/>
          <w:color w:val="auto"/>
          <w:kern w:val="2"/>
          <w:sz w:val="24"/>
          <w:szCs w:val="24"/>
          <w:vertAlign w:val="superscript"/>
          <w:lang w:val="en-US" w:eastAsia="zh-CN" w:bidi="ar-SA"/>
        </w:rPr>
        <w:t>2</w:t>
      </w:r>
      <w:r>
        <w:rPr>
          <w:rFonts w:hint="eastAsia" w:ascii="宋体" w:hAnsi="宋体" w:eastAsia="宋体" w:cstheme="minorEastAsia"/>
          <w:color w:val="auto"/>
          <w:kern w:val="2"/>
          <w:sz w:val="24"/>
          <w:szCs w:val="24"/>
          <w:lang w:val="en-US" w:eastAsia="zh-CN" w:bidi="ar-SA"/>
        </w:rPr>
        <w:t>J级，对工作面扰动作用相对较弱，但其破断时的冲击振动作用仍较大，在破断冲击作用可能诱发下伏岩层提前破断，进而发生联动破断，形成大能量事件，仍需对其进行一定弱化控制。</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b/>
          <w:bCs/>
          <w:color w:val="auto"/>
          <w:lang w:val="en-US" w:eastAsia="zh-CN"/>
        </w:rPr>
      </w:pPr>
      <w:bookmarkStart w:id="106" w:name="_Toc153047276"/>
      <w:bookmarkStart w:id="107" w:name="_Toc200569867"/>
      <w:r>
        <w:rPr>
          <w:rFonts w:hint="eastAsia" w:asciiTheme="minorEastAsia" w:hAnsiTheme="minorEastAsia" w:eastAsiaTheme="minorEastAsia" w:cstheme="minorEastAsia"/>
          <w:b/>
          <w:bCs/>
          <w:color w:val="auto"/>
          <w:lang w:val="en-US" w:eastAsia="zh-CN"/>
        </w:rPr>
        <w:t>六、压裂井压裂层位初步确定</w:t>
      </w:r>
      <w:bookmarkEnd w:id="106"/>
      <w:bookmarkEnd w:id="107"/>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rPr>
      </w:pPr>
      <w:r>
        <w:rPr>
          <w:rFonts w:hint="eastAsia"/>
          <w:color w:val="auto"/>
        </w:rPr>
        <w:t>根据上述关键层判别，工作面上覆</w:t>
      </w:r>
      <w:r>
        <w:rPr>
          <w:rFonts w:hint="eastAsia"/>
          <w:color w:val="auto"/>
          <w:lang w:val="en-US" w:eastAsia="zh-CN"/>
        </w:rPr>
        <w:t>岩层</w:t>
      </w:r>
      <w:r>
        <w:rPr>
          <w:rFonts w:hint="eastAsia"/>
          <w:color w:val="auto"/>
        </w:rPr>
        <w:t>中高位均存在厚硬砂岩组，易形成大范围悬臂，造成采场强矿压显现。因此，压裂目标层初步确定为中高位厚硬砂岩组。根据采区地质资料，</w:t>
      </w:r>
      <w:r>
        <w:rPr>
          <w:rFonts w:hint="eastAsia"/>
          <w:color w:val="auto"/>
          <w:lang w:val="en-US" w:eastAsia="zh-CN"/>
        </w:rPr>
        <w:t>南翼井田</w:t>
      </w:r>
      <w:r>
        <w:rPr>
          <w:rFonts w:hint="eastAsia"/>
          <w:color w:val="auto"/>
        </w:rPr>
        <w:t>西翼</w:t>
      </w:r>
      <w:r>
        <w:rPr>
          <w:rFonts w:hint="eastAsia"/>
          <w:color w:val="auto"/>
          <w:lang w:val="en-US" w:eastAsia="zh-CN"/>
        </w:rPr>
        <w:t>工作面</w:t>
      </w:r>
      <w:r>
        <w:rPr>
          <w:rFonts w:hint="eastAsia"/>
          <w:color w:val="auto"/>
        </w:rPr>
        <w:t>地质条件复杂，标高</w:t>
      </w:r>
      <w:r>
        <w:rPr>
          <w:rFonts w:hint="eastAsia"/>
          <w:color w:val="auto"/>
          <w:lang w:val="en-US" w:eastAsia="zh-CN"/>
        </w:rPr>
        <w:t>+</w:t>
      </w:r>
      <w:r>
        <w:rPr>
          <w:rFonts w:hint="eastAsia"/>
          <w:color w:val="auto"/>
        </w:rPr>
        <w:t>1200～</w:t>
      </w:r>
      <w:r>
        <w:rPr>
          <w:rFonts w:hint="eastAsia"/>
          <w:color w:val="auto"/>
          <w:lang w:val="en-US" w:eastAsia="zh-CN"/>
        </w:rPr>
        <w:t>+</w:t>
      </w:r>
      <w:r>
        <w:rPr>
          <w:rFonts w:hint="eastAsia"/>
          <w:color w:val="auto"/>
        </w:rPr>
        <w:t>1000m处煤层倾角在50～80°，角度变化较大，同时局部存在煤层扭转现象。</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b/>
          <w:bCs/>
          <w:color w:val="auto"/>
          <w:lang w:val="en-US" w:eastAsia="zh-CN"/>
        </w:rPr>
      </w:pPr>
      <w:bookmarkStart w:id="108" w:name="_Toc206000438"/>
      <w:r>
        <w:rPr>
          <w:rFonts w:hint="eastAsia" w:asciiTheme="minorEastAsia" w:hAnsiTheme="minorEastAsia" w:eastAsiaTheme="minorEastAsia" w:cstheme="minorEastAsia"/>
          <w:b/>
          <w:bCs/>
          <w:color w:val="auto"/>
          <w:lang w:val="en-US" w:eastAsia="zh-CN"/>
        </w:rPr>
        <w:t>七、地面水平井压裂关键层位数值模拟验证</w:t>
      </w:r>
      <w:bookmarkEnd w:id="108"/>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lang w:val="en-US" w:eastAsia="zh-CN"/>
        </w:rPr>
      </w:pPr>
      <w:bookmarkStart w:id="109" w:name="_Toc206000439"/>
      <w:r>
        <w:rPr>
          <w:rFonts w:hint="eastAsia" w:asciiTheme="minorEastAsia" w:hAnsiTheme="minorEastAsia" w:eastAsiaTheme="minorEastAsia" w:cstheme="minorEastAsia"/>
          <w:color w:val="auto"/>
          <w:lang w:val="en-US" w:eastAsia="zh-CN"/>
        </w:rPr>
        <w:t>（一）数值模型建立</w:t>
      </w:r>
      <w:bookmarkEnd w:id="109"/>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FLAC3D软件是一种仿真计算软件，该软件属于二维有限差分程序，主要针对岩体、土体以及其他地质方面的研究对象。该软件构建三维网格，拟合实际结构。为此，本文基于FLAC3D软件的煤层开采应力分析方法，通过FLAC3D软件，分析采场煤岩体应力演化规律。</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FLAC3D在大规模采场岩层运移和变形模拟方面具有优势，因此选择FLAC3D作为数值模拟的工具。基于红会第一煤矿分公司103</w:t>
      </w:r>
      <w:r>
        <w:rPr>
          <w:rFonts w:hint="eastAsia" w:ascii="宋体" w:hAnsi="宋体" w:cs="宋体"/>
          <w:color w:val="auto"/>
          <w:sz w:val="24"/>
          <w:szCs w:val="24"/>
          <w:vertAlign w:val="superscript"/>
          <w:lang w:val="en-US" w:eastAsia="zh-CN"/>
        </w:rPr>
        <w:t>-1</w:t>
      </w:r>
      <w:r>
        <w:rPr>
          <w:rFonts w:hint="eastAsia" w:ascii="宋体" w:hAnsi="宋体" w:eastAsia="宋体" w:cs="宋体"/>
          <w:color w:val="auto"/>
          <w:sz w:val="24"/>
          <w:szCs w:val="24"/>
        </w:rPr>
        <w:t>钻孔，建立急倾斜煤层水平分段开采数值计算模型</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1-7</w:t>
      </w:r>
      <w:r>
        <w:rPr>
          <w:rFonts w:hint="eastAsia" w:ascii="宋体" w:hAnsi="宋体" w:cs="宋体"/>
          <w:color w:val="auto"/>
          <w:sz w:val="24"/>
          <w:szCs w:val="24"/>
          <w:lang w:eastAsia="zh-CN"/>
        </w:rPr>
        <w:t>）</w:t>
      </w:r>
      <w:r>
        <w:rPr>
          <w:rFonts w:hint="eastAsia" w:ascii="宋体" w:hAnsi="宋体" w:eastAsia="宋体" w:cs="宋体"/>
          <w:color w:val="auto"/>
          <w:sz w:val="24"/>
          <w:szCs w:val="24"/>
        </w:rPr>
        <w:t>。</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数值计算模型尺寸为450m×670m×100m。为限制模型在水平方向上的位移，施加约束力于模型两侧，以达到固定边界的效果，垂直方向不做限制；模型底部对水平和垂直方向上的位移进行限制，上表面施加8.75MPa压力用于模拟上覆岩层。模型采用摩尔库伦准则，模拟工作面应力分布及开采应力演化规律。对模型施加自重，重力加速度为9.8m/s</w:t>
      </w:r>
      <w:r>
        <w:rPr>
          <w:rFonts w:hint="eastAsia" w:ascii="宋体" w:hAnsi="宋体" w:eastAsia="宋体" w:cs="宋体"/>
          <w:color w:val="auto"/>
          <w:sz w:val="24"/>
          <w:szCs w:val="24"/>
          <w:vertAlign w:val="superscript"/>
        </w:rPr>
        <w:t>2</w:t>
      </w:r>
      <w:r>
        <w:rPr>
          <w:rFonts w:hint="eastAsia" w:ascii="宋体" w:hAnsi="宋体" w:eastAsia="宋体" w:cs="宋体"/>
          <w:color w:val="auto"/>
          <w:sz w:val="24"/>
          <w:szCs w:val="24"/>
        </w:rPr>
        <w:t>，根据红会第一煤矿分公司相关资料，模型侧应力系数设置为1.9。</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通过“弱化法”模拟断层，断层上盘工作面设置两个开挖分段，下盘工作面设置八个开挖分段。为使模型尽可能的与实际情况一致，在模型上须施加边界条件，施加方式如下：</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1.</w:t>
      </w:r>
      <w:r>
        <w:rPr>
          <w:rFonts w:hint="eastAsia" w:ascii="宋体" w:hAnsi="宋体" w:eastAsia="宋体" w:cs="宋体"/>
          <w:color w:val="auto"/>
          <w:sz w:val="24"/>
          <w:szCs w:val="24"/>
        </w:rPr>
        <w:t>上部边界:可自由位移，不施加约束；</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2.</w:t>
      </w:r>
      <w:r>
        <w:rPr>
          <w:rFonts w:hint="eastAsia" w:ascii="宋体" w:hAnsi="宋体" w:eastAsia="宋体" w:cs="宋体"/>
          <w:color w:val="auto"/>
          <w:sz w:val="24"/>
          <w:szCs w:val="24"/>
        </w:rPr>
        <w:t>下部边界:z方向约束；</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3.</w:t>
      </w:r>
      <w:r>
        <w:rPr>
          <w:rFonts w:hint="eastAsia" w:ascii="宋体" w:hAnsi="宋体" w:eastAsia="宋体" w:cs="宋体"/>
          <w:color w:val="auto"/>
          <w:sz w:val="24"/>
          <w:szCs w:val="24"/>
        </w:rPr>
        <w:t>左右边界:x方向约束；</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4.</w:t>
      </w:r>
      <w:r>
        <w:rPr>
          <w:rFonts w:hint="eastAsia" w:ascii="宋体" w:hAnsi="宋体" w:eastAsia="宋体" w:cs="宋体"/>
          <w:color w:val="auto"/>
          <w:sz w:val="24"/>
          <w:szCs w:val="24"/>
        </w:rPr>
        <w:t>前后边界:y方向约束。</w:t>
      </w:r>
    </w:p>
    <w:p>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宋体" w:hAnsi="宋体" w:eastAsia="宋体" w:cs="宋体"/>
          <w:color w:val="auto"/>
          <w:sz w:val="24"/>
          <w:szCs w:val="24"/>
        </w:rPr>
      </w:pPr>
      <w:r>
        <w:rPr>
          <w:color w:val="auto"/>
          <w14:ligatures w14:val="none"/>
        </w:rPr>
        <w:drawing>
          <wp:anchor distT="0" distB="0" distL="0" distR="0" simplePos="0" relativeHeight="251706368" behindDoc="0" locked="0" layoutInCell="1" allowOverlap="1">
            <wp:simplePos x="0" y="0"/>
            <wp:positionH relativeFrom="column">
              <wp:posOffset>1546860</wp:posOffset>
            </wp:positionH>
            <wp:positionV relativeFrom="paragraph">
              <wp:posOffset>66675</wp:posOffset>
            </wp:positionV>
            <wp:extent cx="2465705" cy="3395980"/>
            <wp:effectExtent l="0" t="0" r="10795" b="13970"/>
            <wp:wrapNone/>
            <wp:docPr id="16282444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244452" name="图片 1"/>
                    <pic:cNvPicPr>
                      <a:picLocks noChangeAspect="1"/>
                    </pic:cNvPicPr>
                  </pic:nvPicPr>
                  <pic:blipFill>
                    <a:blip r:embed="rId51"/>
                    <a:stretch>
                      <a:fillRect/>
                    </a:stretch>
                  </pic:blipFill>
                  <pic:spPr>
                    <a:xfrm>
                      <a:off x="0" y="0"/>
                      <a:ext cx="2465705" cy="339598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pStyle w:val="2"/>
        <w:rPr>
          <w:rFonts w:hint="eastAsia"/>
          <w:color w:val="auto"/>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图2-1-7  倾斜煤层开采数值模型</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为了模拟地面压裂裂缝，使用FLAC3D接触面功能模拟裂缝弱面，接触面常用于模拟岩体裂隙和节理，与地面压裂形成的裂缝网弱面结构极为相似，因此采用在厚硬岩层中建立接触面的方式模拟地面压裂。地面压裂分段长度一般在50m左右，各分段形成裂缝高度一般在40</w:t>
      </w:r>
      <w:r>
        <w:rPr>
          <w:rFonts w:hint="eastAsia" w:ascii="宋体" w:hAnsi="宋体" w:eastAsia="宋体" w:cstheme="minorEastAsia"/>
          <w:color w:val="auto"/>
          <w:kern w:val="2"/>
          <w:sz w:val="24"/>
          <w:szCs w:val="24"/>
          <w:lang w:val="en-US" w:eastAsia="zh-CN" w:bidi="ar-SA"/>
        </w:rPr>
        <w:t>～</w:t>
      </w:r>
      <w:r>
        <w:rPr>
          <w:rFonts w:hint="eastAsia" w:ascii="宋体" w:hAnsi="宋体" w:eastAsia="宋体" w:cs="宋体"/>
          <w:color w:val="auto"/>
          <w:sz w:val="24"/>
          <w:szCs w:val="24"/>
        </w:rPr>
        <w:t>50m，因此沿压裂目标层建立若干间距为10m，高度为40m的接触面，模拟地面水平井分段压裂体积缝网，数值模型地面压裂缝网示意图</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1-8</w:t>
      </w:r>
      <w:r>
        <w:rPr>
          <w:rFonts w:hint="eastAsia" w:ascii="宋体" w:hAnsi="宋体" w:cs="宋体"/>
          <w:color w:val="auto"/>
          <w:sz w:val="24"/>
          <w:szCs w:val="24"/>
          <w:lang w:eastAsia="zh-CN"/>
        </w:rPr>
        <w:t>）</w:t>
      </w:r>
      <w:r>
        <w:rPr>
          <w:rFonts w:hint="eastAsia" w:ascii="宋体" w:hAnsi="宋体" w:eastAsia="宋体" w:cs="宋体"/>
          <w:color w:val="auto"/>
          <w:sz w:val="24"/>
          <w:szCs w:val="24"/>
        </w:rPr>
        <w:t>。</w:t>
      </w: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r>
        <w:rPr>
          <w:color w:val="auto"/>
          <w14:ligatures w14:val="none"/>
        </w:rPr>
        <w:drawing>
          <wp:anchor distT="0" distB="0" distL="0" distR="0" simplePos="0" relativeHeight="251691008" behindDoc="0" locked="0" layoutInCell="1" allowOverlap="1">
            <wp:simplePos x="0" y="0"/>
            <wp:positionH relativeFrom="column">
              <wp:posOffset>1434465</wp:posOffset>
            </wp:positionH>
            <wp:positionV relativeFrom="paragraph">
              <wp:posOffset>-38100</wp:posOffset>
            </wp:positionV>
            <wp:extent cx="2862580" cy="3913505"/>
            <wp:effectExtent l="0" t="0" r="13970" b="10795"/>
            <wp:wrapNone/>
            <wp:docPr id="2423360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36099" name="图片 1"/>
                    <pic:cNvPicPr>
                      <a:picLocks noChangeAspect="1"/>
                    </pic:cNvPicPr>
                  </pic:nvPicPr>
                  <pic:blipFill>
                    <a:blip r:embed="rId52"/>
                    <a:stretch>
                      <a:fillRect/>
                    </a:stretch>
                  </pic:blipFill>
                  <pic:spPr>
                    <a:xfrm>
                      <a:off x="0" y="0"/>
                      <a:ext cx="2862580" cy="3913505"/>
                    </a:xfrm>
                    <a:prstGeom prst="rect">
                      <a:avLst/>
                    </a:prstGeom>
                  </pic:spPr>
                </pic:pic>
              </a:graphicData>
            </a:graphic>
          </wp:anchor>
        </w:drawing>
      </w: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pStyle w:val="2"/>
        <w:ind w:firstLine="0" w:firstLineChars="0"/>
        <w:jc w:val="center"/>
        <w:rPr>
          <w:bCs/>
          <w:color w:val="auto"/>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图2-1-8  急倾斜煤层地面压裂模型</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en-US" w:eastAsia="zh-CN"/>
        </w:rPr>
      </w:pPr>
      <w:bookmarkStart w:id="110" w:name="_Toc206000440"/>
      <w:r>
        <w:rPr>
          <w:rFonts w:hint="eastAsia" w:asciiTheme="minorEastAsia" w:hAnsiTheme="minorEastAsia" w:eastAsiaTheme="minorEastAsia" w:cstheme="minorEastAsia"/>
          <w:color w:val="auto"/>
          <w:lang w:val="en-US" w:eastAsia="zh-CN"/>
        </w:rPr>
        <w:t>（二）压裂前后坚硬煤岩体应力场演化规律</w:t>
      </w:r>
      <w:bookmarkEnd w:id="110"/>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根据实验室物理实验得到的煤岩体物理力学参数设置模型参数，进行模型求解，得到模型初始地应力平衡</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1-9</w:t>
      </w:r>
      <w:r>
        <w:rPr>
          <w:rFonts w:hint="eastAsia" w:ascii="宋体" w:hAnsi="宋体" w:cs="宋体"/>
          <w:color w:val="auto"/>
          <w:sz w:val="24"/>
          <w:szCs w:val="24"/>
          <w:lang w:eastAsia="zh-CN"/>
        </w:rPr>
        <w:t>）</w:t>
      </w:r>
      <w:r>
        <w:rPr>
          <w:rFonts w:hint="eastAsia" w:ascii="宋体" w:hAnsi="宋体" w:eastAsia="宋体" w:cs="宋体"/>
          <w:color w:val="auto"/>
          <w:sz w:val="24"/>
          <w:szCs w:val="24"/>
        </w:rPr>
        <w:t>。随后对各分段进行顺序开挖，提取各分段开采时采场应力云图</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1-10）</w:t>
      </w:r>
      <w:r>
        <w:rPr>
          <w:rFonts w:hint="eastAsia" w:ascii="宋体" w:hAnsi="宋体" w:eastAsia="宋体" w:cs="宋体"/>
          <w:color w:val="auto"/>
          <w:sz w:val="24"/>
          <w:szCs w:val="24"/>
        </w:rPr>
        <w:t>。根据现场采掘工序及压裂周期安排，设置在四分段开采后进行地面压裂。</w:t>
      </w:r>
    </w:p>
    <w:p>
      <w:pPr>
        <w:ind w:firstLine="0" w:firstLineChars="0"/>
        <w:jc w:val="center"/>
        <w:rPr>
          <w:color w:val="auto"/>
        </w:rPr>
      </w:pPr>
      <w:r>
        <w:rPr>
          <w:color w:val="auto"/>
          <w14:ligatures w14:val="none"/>
        </w:rPr>
        <w:drawing>
          <wp:anchor distT="0" distB="0" distL="0" distR="0" simplePos="0" relativeHeight="251692032" behindDoc="0" locked="0" layoutInCell="1" allowOverlap="1">
            <wp:simplePos x="0" y="0"/>
            <wp:positionH relativeFrom="column">
              <wp:posOffset>1434465</wp:posOffset>
            </wp:positionH>
            <wp:positionV relativeFrom="paragraph">
              <wp:posOffset>38735</wp:posOffset>
            </wp:positionV>
            <wp:extent cx="2637155" cy="2317115"/>
            <wp:effectExtent l="0" t="0" r="10795" b="6985"/>
            <wp:wrapNone/>
            <wp:docPr id="21008175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817580" name="图片 1"/>
                    <pic:cNvPicPr>
                      <a:picLocks noChangeAspect="1"/>
                    </pic:cNvPicPr>
                  </pic:nvPicPr>
                  <pic:blipFill>
                    <a:blip r:embed="rId53"/>
                    <a:stretch>
                      <a:fillRect/>
                    </a:stretch>
                  </pic:blipFill>
                  <pic:spPr>
                    <a:xfrm>
                      <a:off x="0" y="0"/>
                      <a:ext cx="2637155" cy="2317115"/>
                    </a:xfrm>
                    <a:prstGeom prst="rect">
                      <a:avLst/>
                    </a:prstGeom>
                  </pic:spPr>
                </pic:pic>
              </a:graphicData>
            </a:graphic>
          </wp:anchor>
        </w:drawing>
      </w: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pStyle w:val="2"/>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bookmarkStart w:id="111" w:name="OLE_LINK4"/>
      <w:r>
        <w:rPr>
          <w:rFonts w:hint="eastAsia" w:ascii="楷体_GB2312" w:hAnsi="楷体_GB2312" w:eastAsia="楷体_GB2312" w:cs="楷体_GB2312"/>
          <w:color w:val="auto"/>
          <w:kern w:val="2"/>
          <w:sz w:val="24"/>
          <w:szCs w:val="24"/>
          <w:lang w:val="en-US" w:eastAsia="zh-CN" w:bidi="ar-SA"/>
          <w14:ligatures w14:val="standardContextual"/>
        </w:rPr>
        <w:t>图2-1-9  初始地应力云图</w:t>
      </w:r>
      <w:bookmarkEnd w:id="111"/>
    </w:p>
    <w:p>
      <w:pPr>
        <w:pStyle w:val="2"/>
        <w:ind w:firstLine="0" w:firstLineChars="0"/>
        <w:jc w:val="center"/>
        <w:rPr>
          <w:color w:val="auto"/>
        </w:rPr>
      </w:pPr>
    </w:p>
    <w:p>
      <w:pPr>
        <w:pStyle w:val="2"/>
        <w:ind w:firstLine="0" w:firstLineChars="0"/>
        <w:jc w:val="center"/>
        <w:rPr>
          <w:color w:val="auto"/>
        </w:rPr>
      </w:pPr>
      <w:r>
        <w:rPr>
          <w:color w:val="auto"/>
          <w14:ligatures w14:val="none"/>
        </w:rPr>
        <w:drawing>
          <wp:anchor distT="0" distB="0" distL="0" distR="0" simplePos="0" relativeHeight="251694080" behindDoc="0" locked="0" layoutInCell="1" allowOverlap="1">
            <wp:simplePos x="0" y="0"/>
            <wp:positionH relativeFrom="column">
              <wp:posOffset>670560</wp:posOffset>
            </wp:positionH>
            <wp:positionV relativeFrom="paragraph">
              <wp:posOffset>-83185</wp:posOffset>
            </wp:positionV>
            <wp:extent cx="4657090" cy="2172970"/>
            <wp:effectExtent l="0" t="0" r="10160" b="17780"/>
            <wp:wrapNone/>
            <wp:docPr id="1078186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186503" name="图片 1"/>
                    <pic:cNvPicPr>
                      <a:picLocks noChangeAspect="1"/>
                    </pic:cNvPicPr>
                  </pic:nvPicPr>
                  <pic:blipFill>
                    <a:blip r:embed="rId54"/>
                    <a:stretch>
                      <a:fillRect/>
                    </a:stretch>
                  </pic:blipFill>
                  <pic:spPr>
                    <a:xfrm>
                      <a:off x="0" y="0"/>
                      <a:ext cx="4657090" cy="2172970"/>
                    </a:xfrm>
                    <a:prstGeom prst="rect">
                      <a:avLst/>
                    </a:prstGeom>
                  </pic:spPr>
                </pic:pic>
              </a:graphicData>
            </a:graphic>
          </wp:anchor>
        </w:drawing>
      </w: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rFonts w:hint="eastAsia" w:eastAsia="宋体"/>
          <w:color w:val="auto"/>
          <w:lang w:val="en-US" w:eastAsia="zh-CN"/>
        </w:rPr>
      </w:pPr>
    </w:p>
    <w:p>
      <w:pPr>
        <w:pStyle w:val="2"/>
        <w:ind w:firstLine="0" w:firstLineChars="0"/>
        <w:jc w:val="center"/>
        <w:rPr>
          <w:rFonts w:hint="eastAsia" w:eastAsia="宋体"/>
          <w:color w:val="auto"/>
          <w:lang w:val="en-US" w:eastAsia="zh-CN"/>
        </w:rPr>
      </w:pP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（a）  分段2开挖时压裂前后煤岩体应力场</w:t>
      </w:r>
    </w:p>
    <w:p>
      <w:pPr>
        <w:pStyle w:val="2"/>
        <w:ind w:firstLine="0" w:firstLineChars="0"/>
        <w:jc w:val="center"/>
        <w:rPr>
          <w:color w:val="auto"/>
          <w14:ligatures w14:val="none"/>
        </w:rPr>
      </w:pPr>
      <w:r>
        <w:rPr>
          <w:color w:val="auto"/>
          <w14:ligatures w14:val="none"/>
        </w:rPr>
        <w:drawing>
          <wp:anchor distT="0" distB="0" distL="0" distR="0" simplePos="0" relativeHeight="251693056" behindDoc="0" locked="0" layoutInCell="1" allowOverlap="1">
            <wp:simplePos x="0" y="0"/>
            <wp:positionH relativeFrom="column">
              <wp:posOffset>619125</wp:posOffset>
            </wp:positionH>
            <wp:positionV relativeFrom="paragraph">
              <wp:posOffset>159385</wp:posOffset>
            </wp:positionV>
            <wp:extent cx="4708525" cy="2196465"/>
            <wp:effectExtent l="0" t="0" r="15875" b="13335"/>
            <wp:wrapNone/>
            <wp:docPr id="4056882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88272" name="图片 1"/>
                    <pic:cNvPicPr>
                      <a:picLocks noChangeAspect="1"/>
                    </pic:cNvPicPr>
                  </pic:nvPicPr>
                  <pic:blipFill>
                    <a:blip r:embed="rId55"/>
                    <a:stretch>
                      <a:fillRect/>
                    </a:stretch>
                  </pic:blipFill>
                  <pic:spPr>
                    <a:xfrm>
                      <a:off x="0" y="0"/>
                      <a:ext cx="4708525" cy="2196465"/>
                    </a:xfrm>
                    <a:prstGeom prst="rect">
                      <a:avLst/>
                    </a:prstGeom>
                  </pic:spPr>
                </pic:pic>
              </a:graphicData>
            </a:graphic>
          </wp:anchor>
        </w:drawing>
      </w:r>
    </w:p>
    <w:p>
      <w:pPr>
        <w:pStyle w:val="2"/>
        <w:ind w:firstLine="0" w:firstLineChars="0"/>
        <w:jc w:val="center"/>
        <w:rPr>
          <w:color w:val="auto"/>
          <w14:ligatures w14:val="none"/>
        </w:rPr>
      </w:pPr>
    </w:p>
    <w:p>
      <w:pPr>
        <w:pStyle w:val="2"/>
        <w:ind w:firstLine="0" w:firstLineChars="0"/>
        <w:jc w:val="center"/>
        <w:rPr>
          <w:color w:val="auto"/>
          <w14:ligatures w14:val="none"/>
        </w:rPr>
      </w:pPr>
    </w:p>
    <w:p>
      <w:pPr>
        <w:pStyle w:val="2"/>
        <w:ind w:firstLine="0" w:firstLineChars="0"/>
        <w:jc w:val="center"/>
        <w:rPr>
          <w:color w:val="auto"/>
          <w14:ligatures w14:val="none"/>
        </w:rPr>
      </w:pPr>
    </w:p>
    <w:p>
      <w:pPr>
        <w:pStyle w:val="2"/>
        <w:ind w:firstLine="0" w:firstLineChars="0"/>
        <w:jc w:val="center"/>
        <w:rPr>
          <w:color w:val="auto"/>
          <w14:ligatures w14:val="none"/>
        </w:rPr>
      </w:pPr>
    </w:p>
    <w:p>
      <w:pPr>
        <w:pStyle w:val="2"/>
        <w:ind w:firstLine="0" w:firstLineChars="0"/>
        <w:jc w:val="center"/>
        <w:rPr>
          <w:color w:val="auto"/>
          <w14:ligatures w14:val="none"/>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（b）  分段3开挖时压裂前后煤岩体应力场</w:t>
      </w:r>
    </w:p>
    <w:p>
      <w:pPr>
        <w:pStyle w:val="2"/>
        <w:ind w:firstLine="0" w:firstLineChars="0"/>
        <w:jc w:val="center"/>
        <w:rPr>
          <w:color w:val="auto"/>
        </w:rPr>
      </w:pPr>
      <w:r>
        <w:rPr>
          <w:color w:val="auto"/>
        </w:rPr>
        <w:drawing>
          <wp:anchor distT="0" distB="0" distL="0" distR="0" simplePos="0" relativeHeight="251695104" behindDoc="0" locked="0" layoutInCell="1" allowOverlap="1">
            <wp:simplePos x="0" y="0"/>
            <wp:positionH relativeFrom="column">
              <wp:posOffset>504190</wp:posOffset>
            </wp:positionH>
            <wp:positionV relativeFrom="paragraph">
              <wp:posOffset>-51435</wp:posOffset>
            </wp:positionV>
            <wp:extent cx="4754880" cy="2195195"/>
            <wp:effectExtent l="0" t="0" r="7620" b="14605"/>
            <wp:wrapNone/>
            <wp:docPr id="17681569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156943" name="图片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54880" cy="2195195"/>
                    </a:xfrm>
                    <a:prstGeom prst="rect">
                      <a:avLst/>
                    </a:prstGeom>
                    <a:noFill/>
                    <a:ln>
                      <a:noFill/>
                    </a:ln>
                  </pic:spPr>
                </pic:pic>
              </a:graphicData>
            </a:graphic>
          </wp:anchor>
        </w:drawing>
      </w: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pStyle w:val="2"/>
        <w:ind w:firstLine="0" w:firstLineChars="0"/>
        <w:jc w:val="center"/>
        <w:rPr>
          <w:color w:val="auto"/>
        </w:rPr>
      </w:pP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（c）  分段4开挖时压裂前后煤岩体应力场</w:t>
      </w:r>
    </w:p>
    <w:p>
      <w:pPr>
        <w:pStyle w:val="2"/>
        <w:ind w:firstLine="0" w:firstLineChars="0"/>
        <w:jc w:val="center"/>
        <w:rPr>
          <w:color w:val="auto"/>
        </w:rPr>
      </w:pPr>
      <w:r>
        <w:rPr>
          <w:color w:val="auto"/>
          <w14:ligatures w14:val="none"/>
        </w:rPr>
        <w:drawing>
          <wp:inline distT="0" distB="0" distL="0" distR="0">
            <wp:extent cx="4734560" cy="2179955"/>
            <wp:effectExtent l="0" t="0" r="8890" b="10795"/>
            <wp:docPr id="1051892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92494" name="图片 1"/>
                    <pic:cNvPicPr>
                      <a:picLocks noChangeAspect="1"/>
                    </pic:cNvPicPr>
                  </pic:nvPicPr>
                  <pic:blipFill>
                    <a:blip r:embed="rId57"/>
                    <a:stretch>
                      <a:fillRect/>
                    </a:stretch>
                  </pic:blipFill>
                  <pic:spPr>
                    <a:xfrm>
                      <a:off x="0" y="0"/>
                      <a:ext cx="4734560" cy="2179955"/>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（d）  分段5开挖时压裂前后煤岩体应力场</w:t>
      </w:r>
    </w:p>
    <w:p>
      <w:pPr>
        <w:pStyle w:val="2"/>
        <w:ind w:firstLine="0" w:firstLineChars="0"/>
        <w:jc w:val="center"/>
        <w:rPr>
          <w:color w:val="auto"/>
        </w:rPr>
      </w:pPr>
      <w:r>
        <w:rPr>
          <w:color w:val="auto"/>
          <w14:ligatures w14:val="none"/>
        </w:rPr>
        <w:drawing>
          <wp:inline distT="0" distB="0" distL="0" distR="0">
            <wp:extent cx="4969510" cy="2300605"/>
            <wp:effectExtent l="0" t="0" r="2540" b="4445"/>
            <wp:docPr id="2747258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25858" name="图片 1"/>
                    <pic:cNvPicPr>
                      <a:picLocks noChangeAspect="1"/>
                    </pic:cNvPicPr>
                  </pic:nvPicPr>
                  <pic:blipFill>
                    <a:blip r:embed="rId58"/>
                    <a:stretch>
                      <a:fillRect/>
                    </a:stretch>
                  </pic:blipFill>
                  <pic:spPr>
                    <a:xfrm>
                      <a:off x="0" y="0"/>
                      <a:ext cx="4969510" cy="2300605"/>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（e）  分段6开挖时压裂前后煤岩体应力场</w:t>
      </w:r>
    </w:p>
    <w:p>
      <w:pPr>
        <w:pStyle w:val="2"/>
        <w:ind w:firstLine="0" w:firstLineChars="0"/>
        <w:jc w:val="center"/>
        <w:rPr>
          <w:color w:val="auto"/>
        </w:rPr>
      </w:pPr>
      <w:r>
        <w:rPr>
          <w:rFonts w:hint="eastAsia" w:ascii="楷体_GB2312" w:hAnsi="楷体_GB2312" w:eastAsia="楷体_GB2312" w:cs="楷体_GB2312"/>
          <w:color w:val="auto"/>
          <w:kern w:val="2"/>
          <w:sz w:val="24"/>
          <w:szCs w:val="24"/>
          <w:lang w:val="en-US" w:eastAsia="zh-CN" w:bidi="ar-SA"/>
          <w14:ligatures w14:val="standardContextual"/>
        </w:rPr>
        <w:drawing>
          <wp:inline distT="0" distB="0" distL="0" distR="0">
            <wp:extent cx="4702175" cy="2197100"/>
            <wp:effectExtent l="0" t="0" r="3175" b="12700"/>
            <wp:docPr id="531836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83655" name="图片 1"/>
                    <pic:cNvPicPr>
                      <a:picLocks noChangeAspect="1"/>
                    </pic:cNvPicPr>
                  </pic:nvPicPr>
                  <pic:blipFill>
                    <a:blip r:embed="rId59"/>
                    <a:stretch>
                      <a:fillRect/>
                    </a:stretch>
                  </pic:blipFill>
                  <pic:spPr>
                    <a:xfrm>
                      <a:off x="0" y="0"/>
                      <a:ext cx="4702175" cy="2197100"/>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（f）  分段7开挖时压裂前后煤岩体应力场</w:t>
      </w:r>
    </w:p>
    <w:p>
      <w:pPr>
        <w:pStyle w:val="2"/>
        <w:ind w:firstLine="0" w:firstLineChars="0"/>
        <w:jc w:val="center"/>
        <w:rPr>
          <w:color w:val="auto"/>
        </w:rPr>
      </w:pPr>
      <w:r>
        <w:rPr>
          <w:color w:val="auto"/>
          <w14:ligatures w14:val="none"/>
        </w:rPr>
        <w:drawing>
          <wp:inline distT="0" distB="0" distL="0" distR="0">
            <wp:extent cx="4686935" cy="2171700"/>
            <wp:effectExtent l="0" t="0" r="18415" b="0"/>
            <wp:docPr id="10335915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91573" name="图片 1"/>
                    <pic:cNvPicPr>
                      <a:picLocks noChangeAspect="1"/>
                    </pic:cNvPicPr>
                  </pic:nvPicPr>
                  <pic:blipFill>
                    <a:blip r:embed="rId60"/>
                    <a:stretch>
                      <a:fillRect/>
                    </a:stretch>
                  </pic:blipFill>
                  <pic:spPr>
                    <a:xfrm>
                      <a:off x="0" y="0"/>
                      <a:ext cx="4686935" cy="2171700"/>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（g）  分段8开挖时压裂前后煤岩体应力场</w:t>
      </w:r>
    </w:p>
    <w:p>
      <w:pPr>
        <w:pStyle w:val="2"/>
        <w:ind w:firstLine="0" w:firstLineChars="0"/>
        <w:jc w:val="center"/>
        <w:rPr>
          <w:color w:val="auto"/>
        </w:rPr>
      </w:pPr>
      <w:r>
        <w:rPr>
          <w:color w:val="auto"/>
          <w14:ligatures w14:val="none"/>
        </w:rPr>
        <w:drawing>
          <wp:inline distT="0" distB="0" distL="0" distR="0">
            <wp:extent cx="4722495" cy="2188210"/>
            <wp:effectExtent l="0" t="0" r="1905" b="2540"/>
            <wp:docPr id="6606925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92540" name="图片 1"/>
                    <pic:cNvPicPr>
                      <a:picLocks noChangeAspect="1"/>
                    </pic:cNvPicPr>
                  </pic:nvPicPr>
                  <pic:blipFill>
                    <a:blip r:embed="rId61"/>
                    <a:stretch>
                      <a:fillRect/>
                    </a:stretch>
                  </pic:blipFill>
                  <pic:spPr>
                    <a:xfrm>
                      <a:off x="0" y="0"/>
                      <a:ext cx="4722495" cy="2188210"/>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（h）  分段9开挖时压裂前后煤岩体应力场</w:t>
      </w:r>
    </w:p>
    <w:p>
      <w:pPr>
        <w:pStyle w:val="2"/>
        <w:ind w:firstLine="0" w:firstLineChars="0"/>
        <w:jc w:val="center"/>
        <w:rPr>
          <w:color w:val="auto"/>
        </w:rPr>
      </w:pPr>
      <w:r>
        <w:rPr>
          <w:color w:val="auto"/>
          <w14:ligatures w14:val="none"/>
        </w:rPr>
        <w:drawing>
          <wp:inline distT="0" distB="0" distL="0" distR="0">
            <wp:extent cx="4916805" cy="2240915"/>
            <wp:effectExtent l="0" t="0" r="17145" b="6985"/>
            <wp:docPr id="12421572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57227" name="图片 1"/>
                    <pic:cNvPicPr>
                      <a:picLocks noChangeAspect="1"/>
                    </pic:cNvPicPr>
                  </pic:nvPicPr>
                  <pic:blipFill>
                    <a:blip r:embed="rId62"/>
                    <a:stretch>
                      <a:fillRect/>
                    </a:stretch>
                  </pic:blipFill>
                  <pic:spPr>
                    <a:xfrm>
                      <a:off x="0" y="0"/>
                      <a:ext cx="4916805" cy="224091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（i）  分段10开挖时压裂前后煤岩体应力场</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图2-1-10  压裂前后各分段开挖时采场应力分布</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分析图2-</w:t>
      </w:r>
      <w:r>
        <w:rPr>
          <w:rFonts w:hint="eastAsia" w:ascii="宋体" w:hAnsi="宋体" w:cs="宋体"/>
          <w:color w:val="auto"/>
          <w:sz w:val="24"/>
          <w:szCs w:val="24"/>
          <w:lang w:val="en-US" w:eastAsia="zh-CN"/>
        </w:rPr>
        <w:t>1-10（a）</w:t>
      </w:r>
      <w:r>
        <w:rPr>
          <w:rFonts w:hint="eastAsia" w:ascii="宋体" w:hAnsi="宋体" w:eastAsia="宋体" w:cs="宋体"/>
          <w:color w:val="auto"/>
          <w:sz w:val="24"/>
          <w:szCs w:val="24"/>
        </w:rPr>
        <w:t>中第二分段开挖过程可知，在上盘工作面开采后，顶底板形成大范围卸压区，超前煤体支承应力增大，但由于断层破坏了采场岩层的连续性，应力由断层一盘向另一盘的传播过程将受到断层的阻隔，引起断层附近出现应力集中现象，最终形成沿着断层分布的条带状应力集中区域。</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下盘急倾斜煤层工作面开采过程中，第三分段开后，顶底板形成卸压区，同时顶煤在顶板压力作用下破碎，发生塑性破坏，随着开采深度增加，顶底板失稳破坏，卸压区范围不断增大，当开采至第六分段时，中位关键层破断，引起上覆岩层大范围垮落破坏。在顶底板“夹持”作用下，工作面底煤失稳破坏，浅部形成梯形塑性区，应力得到释放，深部仍处于弹性状态，不断积聚能量。随着开采深度增加，工作面下赋约45m处的底煤应力集中程度及范围不断增加，对下分段工作面采掘活动产生影响，易造成强矿压显现现象。</w:t>
      </w:r>
    </w:p>
    <w:p>
      <w:pPr>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宋体" w:hAnsi="宋体" w:eastAsia="宋体" w:cs="宋体"/>
          <w:color w:val="auto"/>
          <w:sz w:val="24"/>
          <w:szCs w:val="24"/>
        </w:rPr>
      </w:pPr>
      <w:r>
        <w:rPr>
          <w:color w:val="auto"/>
          <w14:ligatures w14:val="none"/>
        </w:rPr>
        <w:drawing>
          <wp:anchor distT="0" distB="0" distL="0" distR="0" simplePos="0" relativeHeight="251696128" behindDoc="0" locked="0" layoutInCell="1" allowOverlap="1">
            <wp:simplePos x="0" y="0"/>
            <wp:positionH relativeFrom="column">
              <wp:posOffset>1379855</wp:posOffset>
            </wp:positionH>
            <wp:positionV relativeFrom="paragraph">
              <wp:posOffset>2479675</wp:posOffset>
            </wp:positionV>
            <wp:extent cx="2994660" cy="2510155"/>
            <wp:effectExtent l="0" t="0" r="15240" b="4445"/>
            <wp:wrapNone/>
            <wp:docPr id="19180337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33785" name="图片 1"/>
                    <pic:cNvPicPr>
                      <a:picLocks noChangeAspect="1"/>
                    </pic:cNvPicPr>
                  </pic:nvPicPr>
                  <pic:blipFill>
                    <a:blip r:embed="rId63"/>
                    <a:stretch>
                      <a:fillRect/>
                    </a:stretch>
                  </pic:blipFill>
                  <pic:spPr>
                    <a:xfrm>
                      <a:off x="0" y="0"/>
                      <a:ext cx="2994660" cy="2510155"/>
                    </a:xfrm>
                    <a:prstGeom prst="rect">
                      <a:avLst/>
                    </a:prstGeom>
                  </pic:spPr>
                </pic:pic>
              </a:graphicData>
            </a:graphic>
          </wp:anchor>
        </w:drawing>
      </w:r>
      <w:r>
        <w:rPr>
          <w:rFonts w:hint="eastAsia" w:ascii="宋体" w:hAnsi="宋体" w:eastAsia="宋体" w:cs="宋体"/>
          <w:color w:val="auto"/>
          <w:sz w:val="24"/>
          <w:szCs w:val="24"/>
        </w:rPr>
        <w:t>而当采取了地面压裂措施后，由图</w:t>
      </w:r>
      <w:r>
        <w:rPr>
          <w:rFonts w:hint="eastAsia" w:ascii="宋体" w:hAnsi="宋体" w:cs="宋体"/>
          <w:color w:val="auto"/>
          <w:sz w:val="24"/>
          <w:szCs w:val="24"/>
          <w:lang w:val="en-US" w:eastAsia="zh-CN"/>
        </w:rPr>
        <w:t>2-1-10（d）</w:t>
      </w:r>
      <w:r>
        <w:rPr>
          <w:rFonts w:hint="eastAsia" w:ascii="宋体" w:hAnsi="宋体" w:eastAsia="宋体" w:cs="宋体"/>
          <w:color w:val="auto"/>
          <w:sz w:val="24"/>
          <w:szCs w:val="24"/>
        </w:rPr>
        <w:t>可知，压裂后开采第五分段时，地面压裂在目标压裂区形成了大范围卸压弱化带，区域内应力大幅降低，地面压裂弱化了厚硬顶板强度，坚硬顶板连续性及整体性得到破坏，减小了厚硬岩层悬臂长度，促使中高位坚硬顶板发生提前破断，削弱了顶板侧“夹持”作用，消除了部分“夹持”力源。地面压裂在目标区域内形成大范围区域体积缝网后，对压裂区域应力场进行调控，诱导区域内应力向远场深部岩体转移，同时卸压弱化带切断了水平构造应力传递路径，降低厚硬顶板断裂传递动载。</w:t>
      </w: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ind w:firstLine="0" w:firstLineChars="0"/>
        <w:jc w:val="center"/>
        <w:rPr>
          <w:color w:val="auto"/>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图2-1-11  压裂前后各分段开采时工作面底煤应力极值</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提取压裂前后各开采阶段工作面底煤应力极值</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1-11</w:t>
      </w:r>
      <w:r>
        <w:rPr>
          <w:rFonts w:hint="eastAsia" w:ascii="宋体" w:hAnsi="宋体" w:cs="宋体"/>
          <w:color w:val="auto"/>
          <w:sz w:val="24"/>
          <w:szCs w:val="24"/>
          <w:lang w:eastAsia="zh-CN"/>
        </w:rPr>
        <w:t>）</w:t>
      </w:r>
      <w:r>
        <w:rPr>
          <w:rFonts w:hint="eastAsia" w:ascii="宋体" w:hAnsi="宋体" w:eastAsia="宋体" w:cs="宋体"/>
          <w:color w:val="auto"/>
          <w:sz w:val="24"/>
          <w:szCs w:val="24"/>
        </w:rPr>
        <w:t>。可以发现，相同开采阶段在地面压裂后的应力集中程度明显降低，应力值普遍减小，相比于未压裂条件下，应力峰值降低了约15%，当开采至第十分段时，压裂后底煤应力极值降低了9%，此时已到达地面压裂控制区边界，卸压弱化效果相对下降。</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val="en-US" w:eastAsia="zh-CN"/>
        </w:rPr>
      </w:pPr>
      <w:bookmarkStart w:id="112" w:name="_Toc206000441"/>
      <w:r>
        <w:rPr>
          <w:rFonts w:hint="eastAsia" w:ascii="宋体" w:hAnsi="宋体" w:eastAsia="宋体" w:cs="宋体"/>
          <w:color w:val="auto"/>
          <w:sz w:val="24"/>
          <w:szCs w:val="24"/>
          <w:lang w:val="en-US" w:eastAsia="zh-CN"/>
        </w:rPr>
        <w:t>（三）压裂前后坚硬煤岩体能量场演化规律</w:t>
      </w:r>
      <w:bookmarkEnd w:id="112"/>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模型初始地应力平衡</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1-12</w:t>
      </w:r>
      <w:r>
        <w:rPr>
          <w:rFonts w:hint="eastAsia" w:ascii="宋体" w:hAnsi="宋体" w:cs="宋体"/>
          <w:color w:val="auto"/>
          <w:sz w:val="24"/>
          <w:szCs w:val="24"/>
          <w:lang w:eastAsia="zh-CN"/>
        </w:rPr>
        <w:t>）</w:t>
      </w:r>
      <w:r>
        <w:rPr>
          <w:rFonts w:hint="eastAsia" w:ascii="宋体" w:hAnsi="宋体" w:eastAsia="宋体" w:cs="宋体"/>
          <w:color w:val="auto"/>
          <w:sz w:val="24"/>
          <w:szCs w:val="24"/>
        </w:rPr>
        <w:t>。随后对各分段进行顺序开挖，提取各分段开采时采场能量云图</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1-13</w:t>
      </w:r>
      <w:r>
        <w:rPr>
          <w:rFonts w:hint="eastAsia" w:ascii="宋体" w:hAnsi="宋体" w:cs="宋体"/>
          <w:color w:val="auto"/>
          <w:sz w:val="24"/>
          <w:szCs w:val="24"/>
          <w:lang w:eastAsia="zh-CN"/>
        </w:rPr>
        <w:t>）</w:t>
      </w:r>
      <w:r>
        <w:rPr>
          <w:rFonts w:hint="eastAsia" w:ascii="宋体" w:hAnsi="宋体" w:eastAsia="宋体" w:cs="宋体"/>
          <w:color w:val="auto"/>
          <w:sz w:val="24"/>
          <w:szCs w:val="24"/>
        </w:rPr>
        <w:t>。</w:t>
      </w:r>
    </w:p>
    <w:p>
      <w:pPr>
        <w:pStyle w:val="2"/>
        <w:ind w:firstLine="0" w:firstLineChars="0"/>
        <w:jc w:val="center"/>
        <w:rPr>
          <w:color w:val="auto"/>
        </w:rPr>
      </w:pPr>
      <w:r>
        <w:rPr>
          <w:color w:val="auto"/>
          <w14:ligatures w14:val="none"/>
        </w:rPr>
        <w:drawing>
          <wp:inline distT="0" distB="0" distL="0" distR="0">
            <wp:extent cx="2319020" cy="1929130"/>
            <wp:effectExtent l="0" t="0" r="5080" b="13970"/>
            <wp:docPr id="2563878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387880" name="图片 1"/>
                    <pic:cNvPicPr>
                      <a:picLocks noChangeAspect="1"/>
                    </pic:cNvPicPr>
                  </pic:nvPicPr>
                  <pic:blipFill>
                    <a:blip r:embed="rId64"/>
                    <a:stretch>
                      <a:fillRect/>
                    </a:stretch>
                  </pic:blipFill>
                  <pic:spPr>
                    <a:xfrm>
                      <a:off x="0" y="0"/>
                      <a:ext cx="2319020" cy="1929130"/>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图2-1-12  初始地应力云图</w:t>
      </w:r>
    </w:p>
    <w:p>
      <w:pPr>
        <w:ind w:firstLine="0" w:firstLineChars="0"/>
        <w:jc w:val="center"/>
        <w:rPr>
          <w:color w:val="auto"/>
        </w:rPr>
      </w:pPr>
      <w:r>
        <w:rPr>
          <w:color w:val="auto"/>
          <w14:ligatures w14:val="none"/>
        </w:rPr>
        <w:drawing>
          <wp:inline distT="0" distB="0" distL="0" distR="0">
            <wp:extent cx="3756660" cy="1735455"/>
            <wp:effectExtent l="0" t="0" r="15240" b="17145"/>
            <wp:docPr id="2058803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803570" name="图片 1"/>
                    <pic:cNvPicPr>
                      <a:picLocks noChangeAspect="1"/>
                    </pic:cNvPicPr>
                  </pic:nvPicPr>
                  <pic:blipFill>
                    <a:blip r:embed="rId65"/>
                    <a:stretch>
                      <a:fillRect/>
                    </a:stretch>
                  </pic:blipFill>
                  <pic:spPr>
                    <a:xfrm>
                      <a:off x="0" y="0"/>
                      <a:ext cx="3756660" cy="1735455"/>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（a）  分段2开挖时压裂前后煤岩体能量场</w:t>
      </w:r>
    </w:p>
    <w:p>
      <w:pPr>
        <w:ind w:firstLine="0" w:firstLineChars="0"/>
        <w:jc w:val="center"/>
        <w:rPr>
          <w:color w:val="auto"/>
        </w:rPr>
      </w:pPr>
      <w:r>
        <w:rPr>
          <w:color w:val="auto"/>
          <w14:ligatures w14:val="none"/>
        </w:rPr>
        <w:drawing>
          <wp:inline distT="0" distB="0" distL="0" distR="0">
            <wp:extent cx="3640455" cy="1694815"/>
            <wp:effectExtent l="0" t="0" r="17145" b="635"/>
            <wp:docPr id="18714259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425907" name="图片 1"/>
                    <pic:cNvPicPr>
                      <a:picLocks noChangeAspect="1"/>
                    </pic:cNvPicPr>
                  </pic:nvPicPr>
                  <pic:blipFill>
                    <a:blip r:embed="rId66"/>
                    <a:stretch>
                      <a:fillRect/>
                    </a:stretch>
                  </pic:blipFill>
                  <pic:spPr>
                    <a:xfrm>
                      <a:off x="0" y="0"/>
                      <a:ext cx="3640455" cy="1694815"/>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（b）  分段3开挖时压裂前后煤岩体能量场</w:t>
      </w:r>
    </w:p>
    <w:p>
      <w:pPr>
        <w:ind w:firstLine="0" w:firstLineChars="0"/>
        <w:jc w:val="center"/>
        <w:rPr>
          <w:rFonts w:cs="Times New Roman"/>
          <w:color w:val="auto"/>
          <w:sz w:val="21"/>
          <w:szCs w:val="21"/>
          <w14:ligatures w14:val="none"/>
        </w:rPr>
      </w:pPr>
      <w:r>
        <w:rPr>
          <w:color w:val="auto"/>
          <w14:ligatures w14:val="none"/>
        </w:rPr>
        <w:drawing>
          <wp:inline distT="0" distB="0" distL="0" distR="0">
            <wp:extent cx="3873500" cy="1799590"/>
            <wp:effectExtent l="0" t="0" r="12700" b="10160"/>
            <wp:docPr id="615641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41973" name="图片 1"/>
                    <pic:cNvPicPr>
                      <a:picLocks noChangeAspect="1"/>
                    </pic:cNvPicPr>
                  </pic:nvPicPr>
                  <pic:blipFill>
                    <a:blip r:embed="rId67"/>
                    <a:stretch>
                      <a:fillRect/>
                    </a:stretch>
                  </pic:blipFill>
                  <pic:spPr>
                    <a:xfrm>
                      <a:off x="0" y="0"/>
                      <a:ext cx="3873600" cy="1800000"/>
                    </a:xfrm>
                    <a:prstGeom prst="rect">
                      <a:avLst/>
                    </a:prstGeom>
                  </pic:spPr>
                </pic:pic>
              </a:graphicData>
            </a:graphic>
          </wp:inline>
        </w:drawing>
      </w:r>
      <w:r>
        <w:rPr>
          <w:color w:val="auto"/>
        </w:rPr>
        <w:cr/>
      </w:r>
      <w:r>
        <w:rPr>
          <w:rFonts w:hint="eastAsia" w:ascii="楷体_GB2312" w:hAnsi="楷体_GB2312" w:eastAsia="楷体_GB2312" w:cs="楷体_GB2312"/>
          <w:color w:val="auto"/>
          <w:kern w:val="2"/>
          <w:sz w:val="24"/>
          <w:szCs w:val="24"/>
          <w:lang w:val="en-US" w:eastAsia="zh-CN" w:bidi="ar-SA"/>
          <w14:ligatures w14:val="standardContextual"/>
        </w:rPr>
        <w:t>（c）  分段4开挖时压裂前后煤岩体能量场</w:t>
      </w:r>
    </w:p>
    <w:p>
      <w:pPr>
        <w:ind w:firstLine="0" w:firstLineChars="0"/>
        <w:jc w:val="center"/>
        <w:rPr>
          <w:color w:val="auto"/>
        </w:rPr>
      </w:pPr>
      <w:r>
        <w:rPr>
          <w:color w:val="auto"/>
          <w14:ligatures w14:val="none"/>
        </w:rPr>
        <w:drawing>
          <wp:inline distT="0" distB="0" distL="0" distR="0">
            <wp:extent cx="3919855" cy="1799590"/>
            <wp:effectExtent l="0" t="0" r="4445" b="10160"/>
            <wp:docPr id="1340410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41063" name="图片 1"/>
                    <pic:cNvPicPr>
                      <a:picLocks noChangeAspect="1"/>
                    </pic:cNvPicPr>
                  </pic:nvPicPr>
                  <pic:blipFill>
                    <a:blip r:embed="rId68"/>
                    <a:stretch>
                      <a:fillRect/>
                    </a:stretch>
                  </pic:blipFill>
                  <pic:spPr>
                    <a:xfrm>
                      <a:off x="0" y="0"/>
                      <a:ext cx="3920400" cy="1800000"/>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（d）  分段5开挖时压裂前后煤岩体能量场</w:t>
      </w:r>
    </w:p>
    <w:p>
      <w:pPr>
        <w:ind w:firstLine="0" w:firstLineChars="0"/>
        <w:jc w:val="center"/>
        <w:rPr>
          <w:color w:val="auto"/>
        </w:rPr>
      </w:pPr>
      <w:r>
        <w:rPr>
          <w:color w:val="auto"/>
          <w14:ligatures w14:val="none"/>
        </w:rPr>
        <w:drawing>
          <wp:inline distT="0" distB="0" distL="0" distR="0">
            <wp:extent cx="3837305" cy="1799590"/>
            <wp:effectExtent l="0" t="0" r="10795" b="10160"/>
            <wp:docPr id="16500104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010486" name="图片 1"/>
                    <pic:cNvPicPr>
                      <a:picLocks noChangeAspect="1"/>
                    </pic:cNvPicPr>
                  </pic:nvPicPr>
                  <pic:blipFill>
                    <a:blip r:embed="rId69"/>
                    <a:stretch>
                      <a:fillRect/>
                    </a:stretch>
                  </pic:blipFill>
                  <pic:spPr>
                    <a:xfrm>
                      <a:off x="0" y="0"/>
                      <a:ext cx="3837600" cy="1800000"/>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（e）  分段6开挖时压裂前后煤岩体能量场</w:t>
      </w:r>
    </w:p>
    <w:p>
      <w:pPr>
        <w:ind w:firstLine="0" w:firstLineChars="0"/>
        <w:jc w:val="center"/>
        <w:rPr>
          <w:color w:val="auto"/>
        </w:rPr>
      </w:pPr>
      <w:r>
        <w:rPr>
          <w:color w:val="auto"/>
          <w14:ligatures w14:val="none"/>
        </w:rPr>
        <w:drawing>
          <wp:inline distT="0" distB="0" distL="0" distR="0">
            <wp:extent cx="3927475" cy="1799590"/>
            <wp:effectExtent l="0" t="0" r="15875" b="10160"/>
            <wp:docPr id="1995379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37981" name="图片 1"/>
                    <pic:cNvPicPr>
                      <a:picLocks noChangeAspect="1"/>
                    </pic:cNvPicPr>
                  </pic:nvPicPr>
                  <pic:blipFill>
                    <a:blip r:embed="rId70"/>
                    <a:stretch>
                      <a:fillRect/>
                    </a:stretch>
                  </pic:blipFill>
                  <pic:spPr>
                    <a:xfrm>
                      <a:off x="0" y="0"/>
                      <a:ext cx="3927600" cy="1800000"/>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（f）  分段7开挖时压裂前后煤岩体能量场</w:t>
      </w:r>
    </w:p>
    <w:p>
      <w:pPr>
        <w:ind w:firstLine="0" w:firstLineChars="0"/>
        <w:jc w:val="center"/>
        <w:rPr>
          <w:color w:val="auto"/>
        </w:rPr>
      </w:pPr>
      <w:r>
        <w:rPr>
          <w:color w:val="auto"/>
          <w14:ligatures w14:val="none"/>
        </w:rPr>
        <w:drawing>
          <wp:inline distT="0" distB="0" distL="0" distR="0">
            <wp:extent cx="3930650" cy="1799590"/>
            <wp:effectExtent l="0" t="0" r="12700" b="10160"/>
            <wp:docPr id="13991323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132348" name="图片 1"/>
                    <pic:cNvPicPr>
                      <a:picLocks noChangeAspect="1"/>
                    </pic:cNvPicPr>
                  </pic:nvPicPr>
                  <pic:blipFill>
                    <a:blip r:embed="rId71"/>
                    <a:stretch>
                      <a:fillRect/>
                    </a:stretch>
                  </pic:blipFill>
                  <pic:spPr>
                    <a:xfrm>
                      <a:off x="0" y="0"/>
                      <a:ext cx="3931200" cy="1800000"/>
                    </a:xfrm>
                    <a:prstGeom prst="rect">
                      <a:avLst/>
                    </a:prstGeom>
                  </pic:spPr>
                </pic:pic>
              </a:graphicData>
            </a:graphic>
          </wp:inline>
        </w:drawing>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（g）  分段8开挖时压裂前后煤岩体能量场</w:t>
      </w:r>
    </w:p>
    <w:p>
      <w:pPr>
        <w:pStyle w:val="2"/>
        <w:ind w:firstLine="0" w:firstLineChars="0"/>
        <w:jc w:val="center"/>
        <w:rPr>
          <w:color w:val="auto"/>
        </w:rPr>
      </w:pPr>
      <w:r>
        <w:rPr>
          <w:color w:val="auto"/>
          <w14:ligatures w14:val="none"/>
        </w:rPr>
        <w:drawing>
          <wp:inline distT="0" distB="0" distL="0" distR="0">
            <wp:extent cx="3930650" cy="1799590"/>
            <wp:effectExtent l="0" t="0" r="12700" b="10160"/>
            <wp:docPr id="2047661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661973" name="图片 1"/>
                    <pic:cNvPicPr>
                      <a:picLocks noChangeAspect="1"/>
                    </pic:cNvPicPr>
                  </pic:nvPicPr>
                  <pic:blipFill>
                    <a:blip r:embed="rId72"/>
                    <a:stretch>
                      <a:fillRect/>
                    </a:stretch>
                  </pic:blipFill>
                  <pic:spPr>
                    <a:xfrm>
                      <a:off x="0" y="0"/>
                      <a:ext cx="3931200" cy="1800000"/>
                    </a:xfrm>
                    <a:prstGeom prst="rect">
                      <a:avLst/>
                    </a:prstGeom>
                  </pic:spPr>
                </pic:pic>
              </a:graphicData>
            </a:graphic>
          </wp:inline>
        </w:drawing>
      </w:r>
      <w:r>
        <w:rPr>
          <w:color w:val="auto"/>
          <w14:ligatures w14:val="none"/>
        </w:rPr>
        <w:t xml:space="preserve"> </w:t>
      </w:r>
    </w:p>
    <w:p>
      <w:pPr>
        <w:ind w:firstLine="0" w:firstLineChars="0"/>
        <w:jc w:val="center"/>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（h）  分段9开挖时压裂前后煤岩体能量场</w:t>
      </w:r>
    </w:p>
    <w:p>
      <w:pPr>
        <w:pStyle w:val="2"/>
        <w:ind w:firstLine="0" w:firstLineChars="0"/>
        <w:jc w:val="center"/>
        <w:rPr>
          <w:color w:val="auto"/>
        </w:rPr>
      </w:pPr>
      <w:r>
        <w:rPr>
          <w:color w:val="auto"/>
          <w14:ligatures w14:val="none"/>
        </w:rPr>
        <w:drawing>
          <wp:inline distT="0" distB="0" distL="0" distR="0">
            <wp:extent cx="4208145" cy="1958975"/>
            <wp:effectExtent l="0" t="0" r="1905" b="3175"/>
            <wp:docPr id="18199046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904661" name="图片 1"/>
                    <pic:cNvPicPr>
                      <a:picLocks noChangeAspect="1"/>
                    </pic:cNvPicPr>
                  </pic:nvPicPr>
                  <pic:blipFill>
                    <a:blip r:embed="rId73"/>
                    <a:stretch>
                      <a:fillRect/>
                    </a:stretch>
                  </pic:blipFill>
                  <pic:spPr>
                    <a:xfrm>
                      <a:off x="0" y="0"/>
                      <a:ext cx="4208145" cy="195897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（i）  分段10开挖时压裂前后煤岩体能量场</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图2-1-13  压裂前后各分段开挖时采场能量分布</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分析图2-</w:t>
      </w:r>
      <w:r>
        <w:rPr>
          <w:rFonts w:hint="eastAsia" w:ascii="宋体" w:hAnsi="宋体" w:cs="宋体"/>
          <w:color w:val="auto"/>
          <w:sz w:val="24"/>
          <w:szCs w:val="24"/>
          <w:lang w:val="en-US" w:eastAsia="zh-CN"/>
        </w:rPr>
        <w:t>1-13</w:t>
      </w:r>
      <w:r>
        <w:rPr>
          <w:rFonts w:hint="eastAsia" w:ascii="宋体" w:hAnsi="宋体" w:eastAsia="宋体" w:cs="宋体"/>
          <w:color w:val="auto"/>
          <w:sz w:val="24"/>
          <w:szCs w:val="24"/>
        </w:rPr>
        <w:t>可知，在初始地应力平衡后，地层内主要能量集中区域为断层及煤层，这是因为在三向应力状态下，煤层及断层破碎带由于弹性模量较低，成为采场主要能量聚集区域。部分顶底板弹性模量也相对较低，其中也积聚有部分能量。煤层及断层中积蓄的大量能量会在煤体失稳破坏或断层失稳滑动后瞬间释放，对采场造成冲击。</w:t>
      </w:r>
    </w:p>
    <w:p>
      <w:pPr>
        <w:keepNext w:val="0"/>
        <w:keepLines w:val="0"/>
        <w:pageBreakBefore w:val="0"/>
        <w:widowControl w:val="0"/>
        <w:kinsoku/>
        <w:wordWrap/>
        <w:overflowPunct/>
        <w:topLinePunct w:val="0"/>
        <w:autoSpaceDE/>
        <w:autoSpaceDN/>
        <w:bidi w:val="0"/>
        <w:adjustRightInd/>
        <w:snapToGrid/>
        <w:spacing w:line="55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当第二分段开采后，顶底板能量得到释放，断层破坏了采场岩层的连续性，使其对能量的传播起到一定阻隔作用，导致在上盘工作面开采过程中，当工作面接近断层区域时，工作面超前煤体中靠近断层区域内的能量将异常积聚，当进入下盘开采阶段后，急倾斜煤层工作面开采过程中，顶底板能量释放，工作面底部靠近底板侧煤体成为能量积聚的主要区域，随着开采深度不断增加，地应力逐渐增大，静载不断增加，工作面底煤“夹持”区域能量不断增加，对下分段工作面采掘活动造成显著影响。</w:t>
      </w:r>
    </w:p>
    <w:p>
      <w:pPr>
        <w:keepNext w:val="0"/>
        <w:keepLines w:val="0"/>
        <w:pageBreakBefore w:val="0"/>
        <w:widowControl w:val="0"/>
        <w:kinsoku/>
        <w:wordWrap/>
        <w:overflowPunct/>
        <w:topLinePunct w:val="0"/>
        <w:autoSpaceDE/>
        <w:autoSpaceDN/>
        <w:bidi w:val="0"/>
        <w:adjustRightInd/>
        <w:snapToGrid/>
        <w:spacing w:line="55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当采用地面压裂措施后，可以发现，地面压裂目标区域内发生明显的能量释放现象，顶板能量得到提前释放，压裂液渗入岩石内部，岩体完整性被降低，在采掘扰动作用下更易产生裂隙，能量耗散增加。同时，地面压裂可在压裂目标层内产生区域缝网，有效破坏岩体的储能结构，使其内部所能积聚能量的上限降低。地面压裂可以改变岩层结构，通过调控岩层破断运移形式及过程，降低岩层破断步距，能量释放频次增加，能量释放方式从单次高能转化为多次低能。</w:t>
      </w:r>
    </w:p>
    <w:p>
      <w:pPr>
        <w:keepNext w:val="0"/>
        <w:keepLines w:val="0"/>
        <w:pageBreakBefore w:val="0"/>
        <w:widowControl w:val="0"/>
        <w:kinsoku/>
        <w:wordWrap/>
        <w:overflowPunct/>
        <w:topLinePunct w:val="0"/>
        <w:autoSpaceDE/>
        <w:autoSpaceDN/>
        <w:bidi w:val="0"/>
        <w:adjustRightInd/>
        <w:snapToGrid/>
        <w:spacing w:line="55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提取压裂前后各开采阶段工作面底煤能量密度极值</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sz w:val="24"/>
          <w:szCs w:val="24"/>
        </w:rPr>
        <w:t>图2-</w:t>
      </w:r>
      <w:r>
        <w:rPr>
          <w:rFonts w:hint="eastAsia" w:ascii="宋体" w:hAnsi="宋体" w:cs="宋体"/>
          <w:color w:val="auto"/>
          <w:sz w:val="24"/>
          <w:szCs w:val="24"/>
          <w:lang w:val="en-US" w:eastAsia="zh-CN"/>
        </w:rPr>
        <w:t>1-14</w:t>
      </w:r>
      <w:r>
        <w:rPr>
          <w:rFonts w:hint="eastAsia" w:ascii="宋体" w:hAnsi="宋体" w:cs="宋体"/>
          <w:color w:val="auto"/>
          <w:sz w:val="24"/>
          <w:szCs w:val="24"/>
          <w:lang w:eastAsia="zh-CN"/>
        </w:rPr>
        <w:t>）</w:t>
      </w:r>
      <w:r>
        <w:rPr>
          <w:rFonts w:hint="eastAsia" w:ascii="宋体" w:hAnsi="宋体" w:eastAsia="宋体" w:cs="宋体"/>
          <w:color w:val="auto"/>
          <w:sz w:val="24"/>
          <w:szCs w:val="24"/>
        </w:rPr>
        <w:t>，由图可知，在地面压裂结束后，底煤能量密度极值</w:t>
      </w:r>
      <w:r>
        <w:rPr>
          <w:rFonts w:hint="eastAsia" w:ascii="宋体" w:hAnsi="宋体" w:cs="宋体"/>
          <w:color w:val="auto"/>
          <w:sz w:val="24"/>
          <w:szCs w:val="24"/>
          <w:lang w:val="en-US" w:eastAsia="zh-CN"/>
        </w:rPr>
        <w:t>最大</w:t>
      </w:r>
      <w:r>
        <w:rPr>
          <w:rFonts w:hint="eastAsia" w:ascii="宋体" w:hAnsi="宋体" w:eastAsia="宋体" w:cs="宋体"/>
          <w:color w:val="auto"/>
          <w:sz w:val="24"/>
          <w:szCs w:val="24"/>
        </w:rPr>
        <w:t>降低了约23%，这是因为地面压裂改善了采场应力环境，底煤积聚弹性能相应降低，能量释放效果较为明显。</w:t>
      </w:r>
    </w:p>
    <w:p>
      <w:pPr>
        <w:widowControl/>
        <w:ind w:firstLine="0" w:firstLineChars="0"/>
        <w:jc w:val="center"/>
        <w:rPr>
          <w:rFonts w:cs="Times New Roman"/>
          <w:bCs/>
          <w:color w:val="auto"/>
          <w:szCs w:val="24"/>
          <w14:ligatures w14:val="none"/>
        </w:rPr>
      </w:pPr>
      <w:r>
        <w:rPr>
          <w:color w:val="auto"/>
          <w14:ligatures w14:val="none"/>
        </w:rPr>
        <w:drawing>
          <wp:inline distT="0" distB="0" distL="0" distR="0">
            <wp:extent cx="3105785" cy="2519680"/>
            <wp:effectExtent l="0" t="0" r="18415" b="13970"/>
            <wp:docPr id="11973156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15641" name="图片 1"/>
                    <pic:cNvPicPr>
                      <a:picLocks noChangeAspect="1"/>
                    </pic:cNvPicPr>
                  </pic:nvPicPr>
                  <pic:blipFill>
                    <a:blip r:embed="rId74"/>
                    <a:stretch>
                      <a:fillRect/>
                    </a:stretch>
                  </pic:blipFill>
                  <pic:spPr>
                    <a:xfrm>
                      <a:off x="0" y="0"/>
                      <a:ext cx="3105785" cy="25196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sz w:val="24"/>
          <w:szCs w:val="24"/>
          <w14:ligatures w14:val="none"/>
        </w:rPr>
      </w:pPr>
      <w:r>
        <w:rPr>
          <w:rFonts w:hint="eastAsia" w:ascii="楷体_GB2312" w:hAnsi="楷体_GB2312" w:eastAsia="楷体_GB2312" w:cs="楷体_GB2312"/>
          <w:color w:val="auto"/>
          <w:sz w:val="24"/>
          <w:szCs w:val="24"/>
          <w14:ligatures w14:val="none"/>
        </w:rPr>
        <w:t>图2-</w:t>
      </w:r>
      <w:r>
        <w:rPr>
          <w:rFonts w:hint="eastAsia" w:ascii="楷体_GB2312" w:hAnsi="楷体_GB2312" w:eastAsia="楷体_GB2312" w:cs="楷体_GB2312"/>
          <w:color w:val="auto"/>
          <w:sz w:val="24"/>
          <w:szCs w:val="24"/>
          <w:lang w:val="en-US" w:eastAsia="zh-CN"/>
          <w14:ligatures w14:val="none"/>
        </w:rPr>
        <w:t>1-14</w:t>
      </w:r>
      <w:r>
        <w:rPr>
          <w:rFonts w:hint="eastAsia" w:ascii="楷体_GB2312" w:hAnsi="楷体_GB2312" w:eastAsia="楷体_GB2312" w:cs="楷体_GB2312"/>
          <w:color w:val="auto"/>
          <w:sz w:val="24"/>
          <w:szCs w:val="24"/>
          <w14:ligatures w14:val="none"/>
        </w:rPr>
        <w:t xml:space="preserve"> </w:t>
      </w:r>
      <w:r>
        <w:rPr>
          <w:rFonts w:hint="eastAsia" w:ascii="楷体_GB2312" w:hAnsi="楷体_GB2312" w:eastAsia="楷体_GB2312" w:cs="楷体_GB2312"/>
          <w:color w:val="auto"/>
          <w:sz w:val="24"/>
          <w:szCs w:val="24"/>
          <w:lang w:val="en-US" w:eastAsia="zh-CN"/>
          <w14:ligatures w14:val="none"/>
        </w:rPr>
        <w:t xml:space="preserve"> </w:t>
      </w:r>
      <w:r>
        <w:rPr>
          <w:rFonts w:hint="eastAsia" w:ascii="楷体_GB2312" w:hAnsi="楷体_GB2312" w:eastAsia="楷体_GB2312" w:cs="楷体_GB2312"/>
          <w:color w:val="auto"/>
          <w:sz w:val="24"/>
          <w:szCs w:val="24"/>
          <w14:ligatures w14:val="none"/>
        </w:rPr>
        <w:t>压裂前后各分段开采时底煤能量密度极值</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上述分析验证了地面压裂关键层位选取的合理性，确定了红会第一煤矿分公司地面</w:t>
      </w:r>
      <w:r>
        <w:rPr>
          <w:rFonts w:hint="eastAsia" w:ascii="宋体" w:hAnsi="宋体" w:cs="宋体"/>
          <w:color w:val="auto"/>
          <w:sz w:val="24"/>
          <w:szCs w:val="24"/>
          <w:lang w:val="en-US" w:eastAsia="zh-CN"/>
        </w:rPr>
        <w:t>压裂</w:t>
      </w:r>
      <w:r>
        <w:rPr>
          <w:rFonts w:hint="eastAsia" w:ascii="宋体" w:hAnsi="宋体" w:eastAsia="宋体" w:cs="宋体"/>
          <w:color w:val="auto"/>
          <w:sz w:val="24"/>
          <w:szCs w:val="24"/>
        </w:rPr>
        <w:t>井压裂目标层位为煤层上方55m处。</w:t>
      </w:r>
    </w:p>
    <w:p>
      <w:pPr>
        <w:pStyle w:val="57"/>
        <w:keepNext w:val="0"/>
        <w:keepLines w:val="0"/>
        <w:pageBreakBefore w:val="0"/>
        <w:widowControl w:val="0"/>
        <w:kinsoku/>
        <w:wordWrap/>
        <w:overflowPunct/>
        <w:topLinePunct w:val="0"/>
        <w:autoSpaceDE/>
        <w:autoSpaceDN/>
        <w:bidi w:val="0"/>
        <w:adjustRightInd/>
        <w:snapToGrid/>
        <w:textAlignment w:val="auto"/>
        <w:rPr>
          <w:rFonts w:hint="eastAsia"/>
          <w:color w:val="auto"/>
        </w:rPr>
        <w:sectPr>
          <w:headerReference r:id="rId9" w:type="default"/>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13" w:name="_Toc20459"/>
      <w:r>
        <w:rPr>
          <w:rFonts w:hint="eastAsia" w:ascii="黑体" w:hAnsi="黑体" w:eastAsia="黑体" w:cs="黑体"/>
          <w:b/>
          <w:bCs/>
          <w:color w:val="auto"/>
          <w:sz w:val="28"/>
          <w:szCs w:val="28"/>
          <w:lang w:val="en-US" w:eastAsia="zh-CN"/>
        </w:rPr>
        <w:t>第二节  压裂井轨迹及空间位置确定</w:t>
      </w:r>
      <w:bookmarkEnd w:id="113"/>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一、不同倾角覆岩垮落特征</w:t>
      </w:r>
    </w:p>
    <w:p>
      <w:pPr>
        <w:pStyle w:val="57"/>
        <w:keepNext w:val="0"/>
        <w:keepLines w:val="0"/>
        <w:pageBreakBefore w:val="0"/>
        <w:widowControl w:val="0"/>
        <w:kinsoku/>
        <w:wordWrap/>
        <w:overflowPunct/>
        <w:topLinePunct w:val="0"/>
        <w:autoSpaceDE/>
        <w:autoSpaceDN/>
        <w:bidi w:val="0"/>
        <w:adjustRightInd/>
        <w:snapToGrid/>
        <w:spacing w:line="570" w:lineRule="exact"/>
        <w:textAlignment w:val="auto"/>
        <w:rPr>
          <w:color w:val="auto"/>
        </w:rPr>
      </w:pPr>
      <w:r>
        <w:rPr>
          <w:color w:val="auto"/>
        </w:rPr>
        <w:t>煤层的倾角不同，开采后的空间结构也有很大区别，</w:t>
      </w:r>
      <w:r>
        <w:rPr>
          <w:rFonts w:hint="eastAsia"/>
          <w:color w:val="auto"/>
        </w:rPr>
        <w:t>如图2-</w:t>
      </w:r>
      <w:r>
        <w:rPr>
          <w:rFonts w:hint="eastAsia"/>
          <w:color w:val="auto"/>
          <w:lang w:val="en-US" w:eastAsia="zh-CN"/>
        </w:rPr>
        <w:t>2-1</w:t>
      </w:r>
      <w:r>
        <w:rPr>
          <w:rFonts w:hint="eastAsia"/>
          <w:color w:val="auto"/>
        </w:rPr>
        <w:t>所示，</w:t>
      </w:r>
      <w:r>
        <w:rPr>
          <w:color w:val="auto"/>
        </w:rPr>
        <w:t>煤层倾角较小时，覆岩空间结构为不同形态的非对称壳体结构</w:t>
      </w:r>
      <w:r>
        <w:rPr>
          <w:rFonts w:hint="eastAsia"/>
          <w:color w:val="auto"/>
        </w:rPr>
        <w:t>；</w:t>
      </w:r>
      <w:r>
        <w:rPr>
          <w:color w:val="auto"/>
        </w:rPr>
        <w:t>水平煤层开采后将会呈现对称壳体结构</w:t>
      </w:r>
      <w:r>
        <w:rPr>
          <w:rFonts w:hint="eastAsia"/>
          <w:color w:val="auto"/>
        </w:rPr>
        <w:t>；</w:t>
      </w:r>
      <w:r>
        <w:rPr>
          <w:color w:val="auto"/>
        </w:rPr>
        <w:t>当煤层倾角</w:t>
      </w:r>
      <w:r>
        <w:rPr>
          <w:rFonts w:hint="eastAsia"/>
          <w:color w:val="auto"/>
        </w:rPr>
        <w:t>α</w:t>
      </w:r>
      <w:r>
        <w:rPr>
          <w:color w:val="auto"/>
        </w:rPr>
        <w:t>超过70°时，壳体结构将不存在，空间形态更加复杂</w:t>
      </w:r>
      <w:r>
        <w:rPr>
          <w:rFonts w:hint="eastAsia"/>
          <w:color w:val="auto"/>
        </w:rPr>
        <w:t>。随倾角增大，覆岩结构由对称壳体逐渐演化为非对称壳体，覆岩垮落及裂隙发育特征改变，矿压显现特征随之发生变化。</w:t>
      </w:r>
    </w:p>
    <w:p>
      <w:pPr>
        <w:spacing w:line="360" w:lineRule="auto"/>
        <w:ind w:firstLine="480" w:firstLineChars="200"/>
        <w:jc w:val="center"/>
        <w:rPr>
          <w:rFonts w:ascii="Times New Roman" w:hAnsi="Times New Roman" w:eastAsia="宋体" w:cs="Times New Roman"/>
          <w:color w:val="auto"/>
          <w:sz w:val="24"/>
          <w:szCs w:val="22"/>
          <w14:ligatures w14:val="standardContextual"/>
        </w:rPr>
      </w:pPr>
      <w:r>
        <w:rPr>
          <w:rFonts w:ascii="Times New Roman" w:hAnsi="Times New Roman" w:eastAsia="宋体" w:cs="Times New Roman"/>
          <w:color w:val="auto"/>
          <w:sz w:val="24"/>
          <w:szCs w:val="22"/>
          <w14:ligatures w14:val="standardContextual"/>
        </w:rPr>
        <w:drawing>
          <wp:inline distT="0" distB="0" distL="0" distR="0">
            <wp:extent cx="4132580" cy="3357880"/>
            <wp:effectExtent l="0" t="0" r="1270" b="13970"/>
            <wp:docPr id="1468908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908031" name="图片 1"/>
                    <pic:cNvPicPr>
                      <a:picLocks noChangeAspect="1"/>
                    </pic:cNvPicPr>
                  </pic:nvPicPr>
                  <pic:blipFill>
                    <a:blip r:embed="rId75"/>
                    <a:stretch>
                      <a:fillRect/>
                    </a:stretch>
                  </pic:blipFill>
                  <pic:spPr>
                    <a:xfrm>
                      <a:off x="0" y="0"/>
                      <a:ext cx="4132580" cy="33578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图2-2-1  不同倾角覆岩垮落特征</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二、压裂钻井设计</w:t>
      </w:r>
    </w:p>
    <w:p>
      <w:pPr>
        <w:pStyle w:val="57"/>
        <w:keepNext w:val="0"/>
        <w:keepLines w:val="0"/>
        <w:pageBreakBefore w:val="0"/>
        <w:widowControl w:val="0"/>
        <w:kinsoku/>
        <w:wordWrap/>
        <w:overflowPunct/>
        <w:topLinePunct w:val="0"/>
        <w:autoSpaceDE/>
        <w:autoSpaceDN/>
        <w:bidi w:val="0"/>
        <w:adjustRightInd/>
        <w:snapToGrid/>
        <w:spacing w:line="570" w:lineRule="exact"/>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（一）西翼工作面煤层剖面位置及煤层倾角</w:t>
      </w:r>
    </w:p>
    <w:p>
      <w:pPr>
        <w:keepNext w:val="0"/>
        <w:keepLines w:val="0"/>
        <w:pageBreakBefore w:val="0"/>
        <w:widowControl w:val="0"/>
        <w:kinsoku/>
        <w:wordWrap/>
        <w:overflowPunct/>
        <w:topLinePunct w:val="0"/>
        <w:autoSpaceDE/>
        <w:autoSpaceDN/>
        <w:bidi w:val="0"/>
        <w:adjustRightInd/>
        <w:snapToGrid/>
        <w:spacing w:line="57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为了进一步了解西翼工作面煤层倾角变化特征，在西翼工作面煤层角度转变区域布置剖面，各剖面选取位置</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kern w:val="2"/>
          <w:sz w:val="24"/>
          <w:szCs w:val="24"/>
          <w:lang w:val="en-US" w:eastAsia="zh-CN" w:bidi="ar-SA"/>
        </w:rPr>
        <w:t>图2-2-2</w:t>
      </w:r>
      <w:r>
        <w:rPr>
          <w:rFonts w:hint="eastAsia" w:ascii="宋体" w:hAnsi="宋体" w:cs="宋体"/>
          <w:color w:val="auto"/>
          <w:sz w:val="24"/>
          <w:szCs w:val="24"/>
          <w:lang w:eastAsia="zh-CN"/>
        </w:rPr>
        <w:t>）</w:t>
      </w:r>
      <w:r>
        <w:rPr>
          <w:rFonts w:hint="eastAsia" w:ascii="宋体" w:hAnsi="宋体" w:eastAsia="宋体" w:cs="宋体"/>
          <w:color w:val="auto"/>
          <w:kern w:val="2"/>
          <w:sz w:val="24"/>
          <w:szCs w:val="24"/>
          <w:lang w:val="en-US" w:eastAsia="zh-CN" w:bidi="ar-SA"/>
        </w:rPr>
        <w:t>，共绘制得到12个剖面</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kern w:val="2"/>
          <w:sz w:val="24"/>
          <w:szCs w:val="24"/>
          <w:lang w:val="en-US" w:eastAsia="zh-CN" w:bidi="ar-SA"/>
        </w:rPr>
        <w:t>图2-2-3</w:t>
      </w:r>
      <w:r>
        <w:rPr>
          <w:rFonts w:hint="eastAsia" w:ascii="宋体" w:hAnsi="宋体" w:cs="宋体"/>
          <w:color w:val="auto"/>
          <w:sz w:val="24"/>
          <w:szCs w:val="24"/>
          <w:lang w:eastAsia="zh-CN"/>
        </w:rPr>
        <w:t>）</w:t>
      </w:r>
      <w:r>
        <w:rPr>
          <w:rFonts w:hint="eastAsia" w:ascii="宋体" w:hAnsi="宋体" w:eastAsia="宋体" w:cs="宋体"/>
          <w:color w:val="auto"/>
          <w:kern w:val="2"/>
          <w:sz w:val="24"/>
          <w:szCs w:val="24"/>
          <w:lang w:val="en-US" w:eastAsia="zh-CN" w:bidi="ar-SA"/>
        </w:rPr>
        <w:t>。分析发现，标高+1200～+1000m处煤层倾角在50～80°左右，煤层厚度在10～42m左右，煤层角度</w:t>
      </w:r>
      <w:r>
        <w:rPr>
          <w:color w:val="auto"/>
        </w:rPr>
        <w:drawing>
          <wp:anchor distT="0" distB="0" distL="114300" distR="114300" simplePos="0" relativeHeight="251703296" behindDoc="0" locked="0" layoutInCell="1" allowOverlap="1">
            <wp:simplePos x="0" y="0"/>
            <wp:positionH relativeFrom="column">
              <wp:posOffset>10795</wp:posOffset>
            </wp:positionH>
            <wp:positionV relativeFrom="paragraph">
              <wp:posOffset>270510</wp:posOffset>
            </wp:positionV>
            <wp:extent cx="5530215" cy="1757045"/>
            <wp:effectExtent l="0" t="0" r="13335" b="14605"/>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76"/>
                    <a:stretch>
                      <a:fillRect/>
                    </a:stretch>
                  </pic:blipFill>
                  <pic:spPr>
                    <a:xfrm>
                      <a:off x="0" y="0"/>
                      <a:ext cx="5530215" cy="1757045"/>
                    </a:xfrm>
                    <a:prstGeom prst="rect">
                      <a:avLst/>
                    </a:prstGeom>
                    <a:noFill/>
                    <a:ln>
                      <a:noFill/>
                    </a:ln>
                  </pic:spPr>
                </pic:pic>
              </a:graphicData>
            </a:graphic>
          </wp:anchor>
        </w:drawing>
      </w:r>
      <w:r>
        <w:rPr>
          <w:rFonts w:hint="eastAsia" w:ascii="宋体" w:hAnsi="宋体" w:eastAsia="宋体" w:cstheme="minorEastAsia"/>
          <w:color w:val="auto"/>
          <w:kern w:val="2"/>
          <w:sz w:val="24"/>
          <w:szCs w:val="24"/>
          <w:lang w:val="en-US" w:eastAsia="zh-CN" w:bidi="ar-SA"/>
        </w:rPr>
        <w:t>及厚度变化较大，同时，由西向东总体呈现先增大后减小的趋势。</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theme="minorEastAsia"/>
          <w:color w:val="auto"/>
          <w:kern w:val="2"/>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图2-2-2  西翼工作面煤层剖面位置</w:t>
      </w: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r>
        <w:rPr>
          <w:color w:val="auto"/>
          <w14:ligatures w14:val="none"/>
        </w:rPr>
        <w:drawing>
          <wp:anchor distT="0" distB="0" distL="0" distR="0" simplePos="0" relativeHeight="251667456" behindDoc="0" locked="0" layoutInCell="1" allowOverlap="1">
            <wp:simplePos x="0" y="0"/>
            <wp:positionH relativeFrom="column">
              <wp:posOffset>3129280</wp:posOffset>
            </wp:positionH>
            <wp:positionV relativeFrom="paragraph">
              <wp:posOffset>131445</wp:posOffset>
            </wp:positionV>
            <wp:extent cx="2411730" cy="1847850"/>
            <wp:effectExtent l="0" t="0" r="7620" b="0"/>
            <wp:wrapNone/>
            <wp:docPr id="7696456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45615" name="图片 1"/>
                    <pic:cNvPicPr>
                      <a:picLocks noChangeAspect="1"/>
                    </pic:cNvPicPr>
                  </pic:nvPicPr>
                  <pic:blipFill>
                    <a:blip r:embed="rId77"/>
                    <a:stretch>
                      <a:fillRect/>
                    </a:stretch>
                  </pic:blipFill>
                  <pic:spPr>
                    <a:xfrm>
                      <a:off x="0" y="0"/>
                      <a:ext cx="2411730" cy="1847850"/>
                    </a:xfrm>
                    <a:prstGeom prst="rect">
                      <a:avLst/>
                    </a:prstGeom>
                  </pic:spPr>
                </pic:pic>
              </a:graphicData>
            </a:graphic>
          </wp:anchor>
        </w:drawing>
      </w:r>
      <w:r>
        <w:rPr>
          <w:color w:val="auto"/>
          <w14:ligatures w14:val="none"/>
        </w:rPr>
        <w:drawing>
          <wp:anchor distT="0" distB="0" distL="0" distR="0" simplePos="0" relativeHeight="251666432" behindDoc="0" locked="0" layoutInCell="1" allowOverlap="1">
            <wp:simplePos x="0" y="0"/>
            <wp:positionH relativeFrom="column">
              <wp:posOffset>331470</wp:posOffset>
            </wp:positionH>
            <wp:positionV relativeFrom="paragraph">
              <wp:posOffset>137795</wp:posOffset>
            </wp:positionV>
            <wp:extent cx="2434590" cy="1841500"/>
            <wp:effectExtent l="0" t="0" r="3810" b="6350"/>
            <wp:wrapNone/>
            <wp:docPr id="626269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269636" name="图片 1"/>
                    <pic:cNvPicPr>
                      <a:picLocks noChangeAspect="1"/>
                    </pic:cNvPicPr>
                  </pic:nvPicPr>
                  <pic:blipFill>
                    <a:blip r:embed="rId78"/>
                    <a:stretch>
                      <a:fillRect/>
                    </a:stretch>
                  </pic:blipFill>
                  <pic:spPr>
                    <a:xfrm>
                      <a:off x="0" y="0"/>
                      <a:ext cx="2434590" cy="1841500"/>
                    </a:xfrm>
                    <a:prstGeom prst="rect">
                      <a:avLst/>
                    </a:prstGeom>
                  </pic:spPr>
                </pic:pic>
              </a:graphicData>
            </a:graphic>
          </wp:anchor>
        </w:drawing>
      </w: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spacing w:line="240" w:lineRule="auto"/>
        <w:ind w:firstLine="0" w:firstLineChars="0"/>
        <w:jc w:val="center"/>
        <w:rPr>
          <w:rFonts w:hint="eastAsia" w:ascii="Times New Roman" w:hAnsi="Times New Roman" w:eastAsia="宋体" w:cs="Times New Roman"/>
          <w:color w:val="auto"/>
          <w:sz w:val="24"/>
          <w:szCs w:val="22"/>
          <w14:ligatures w14:val="standardContextual"/>
        </w:rPr>
      </w:pPr>
    </w:p>
    <w:p>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（a）剖面1</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（b）剖面2</w:t>
      </w:r>
    </w:p>
    <w:p>
      <w:pPr>
        <w:spacing w:line="240" w:lineRule="auto"/>
        <w:ind w:firstLine="0" w:firstLineChars="0"/>
        <w:jc w:val="center"/>
        <w:rPr>
          <w:color w:val="auto"/>
        </w:rPr>
      </w:pPr>
      <w:r>
        <w:rPr>
          <w:color w:val="auto"/>
          <w14:ligatures w14:val="none"/>
        </w:rPr>
        <w:drawing>
          <wp:anchor distT="0" distB="0" distL="0" distR="0" simplePos="0" relativeHeight="251669504" behindDoc="0" locked="0" layoutInCell="1" allowOverlap="1">
            <wp:simplePos x="0" y="0"/>
            <wp:positionH relativeFrom="column">
              <wp:posOffset>3056255</wp:posOffset>
            </wp:positionH>
            <wp:positionV relativeFrom="paragraph">
              <wp:posOffset>13970</wp:posOffset>
            </wp:positionV>
            <wp:extent cx="2484755" cy="1883410"/>
            <wp:effectExtent l="0" t="0" r="10795" b="2540"/>
            <wp:wrapNone/>
            <wp:docPr id="19001730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173092" name="图片 1"/>
                    <pic:cNvPicPr>
                      <a:picLocks noChangeAspect="1"/>
                    </pic:cNvPicPr>
                  </pic:nvPicPr>
                  <pic:blipFill>
                    <a:blip r:embed="rId79"/>
                    <a:stretch>
                      <a:fillRect/>
                    </a:stretch>
                  </pic:blipFill>
                  <pic:spPr>
                    <a:xfrm>
                      <a:off x="0" y="0"/>
                      <a:ext cx="2484755" cy="1883410"/>
                    </a:xfrm>
                    <a:prstGeom prst="rect">
                      <a:avLst/>
                    </a:prstGeom>
                  </pic:spPr>
                </pic:pic>
              </a:graphicData>
            </a:graphic>
          </wp:anchor>
        </w:drawing>
      </w:r>
      <w:r>
        <w:rPr>
          <w:color w:val="auto"/>
          <w14:ligatures w14:val="none"/>
        </w:rPr>
        <w:drawing>
          <wp:anchor distT="0" distB="0" distL="0" distR="0" simplePos="0" relativeHeight="251668480" behindDoc="0" locked="0" layoutInCell="1" allowOverlap="1">
            <wp:simplePos x="0" y="0"/>
            <wp:positionH relativeFrom="column">
              <wp:posOffset>340360</wp:posOffset>
            </wp:positionH>
            <wp:positionV relativeFrom="paragraph">
              <wp:posOffset>29845</wp:posOffset>
            </wp:positionV>
            <wp:extent cx="2425700" cy="1867535"/>
            <wp:effectExtent l="0" t="0" r="12700" b="18415"/>
            <wp:wrapNone/>
            <wp:docPr id="6791996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199688" name="图片 1"/>
                    <pic:cNvPicPr>
                      <a:picLocks noChangeAspect="1"/>
                    </pic:cNvPicPr>
                  </pic:nvPicPr>
                  <pic:blipFill>
                    <a:blip r:embed="rId80"/>
                    <a:stretch>
                      <a:fillRect/>
                    </a:stretch>
                  </pic:blipFill>
                  <pic:spPr>
                    <a:xfrm>
                      <a:off x="0" y="0"/>
                      <a:ext cx="2425700" cy="1867535"/>
                    </a:xfrm>
                    <a:prstGeom prst="rect">
                      <a:avLst/>
                    </a:prstGeom>
                  </pic:spPr>
                </pic:pic>
              </a:graphicData>
            </a:graphic>
          </wp:anchor>
        </w:drawing>
      </w:r>
      <w:r>
        <w:rPr>
          <w:color w:val="auto"/>
          <w14:ligatures w14:val="none"/>
        </w:rPr>
        <w:t xml:space="preserve"> </w:t>
      </w:r>
    </w:p>
    <w:p>
      <w:pPr>
        <w:spacing w:line="360" w:lineRule="auto"/>
        <w:ind w:firstLine="0" w:firstLineChars="0"/>
        <w:jc w:val="center"/>
        <w:rPr>
          <w:rFonts w:ascii="Times New Roman" w:hAnsi="Times New Roman" w:eastAsia="宋体" w:cs="Times New Roman"/>
          <w:color w:val="auto"/>
          <w:sz w:val="24"/>
          <w:szCs w:val="22"/>
          <w14:ligatures w14:val="standardContextual"/>
        </w:rPr>
      </w:pPr>
    </w:p>
    <w:p>
      <w:pPr>
        <w:spacing w:line="360" w:lineRule="auto"/>
        <w:ind w:firstLine="0" w:firstLineChars="0"/>
        <w:jc w:val="center"/>
        <w:rPr>
          <w:rFonts w:ascii="Times New Roman" w:hAnsi="Times New Roman" w:eastAsia="宋体" w:cs="Times New Roman"/>
          <w:color w:val="auto"/>
          <w:sz w:val="24"/>
          <w:szCs w:val="22"/>
          <w14:ligatures w14:val="standardContextual"/>
        </w:rPr>
      </w:pPr>
    </w:p>
    <w:p>
      <w:pPr>
        <w:spacing w:line="360" w:lineRule="auto"/>
        <w:ind w:firstLine="0" w:firstLineChars="0"/>
        <w:jc w:val="center"/>
        <w:rPr>
          <w:rFonts w:ascii="Times New Roman" w:hAnsi="Times New Roman" w:eastAsia="宋体" w:cs="Times New Roman"/>
          <w:color w:val="auto"/>
          <w:sz w:val="24"/>
          <w:szCs w:val="22"/>
          <w14:ligatures w14:val="standardContextual"/>
        </w:rPr>
      </w:pPr>
    </w:p>
    <w:p>
      <w:pPr>
        <w:spacing w:line="360" w:lineRule="auto"/>
        <w:ind w:firstLine="0" w:firstLineChars="0"/>
        <w:jc w:val="center"/>
        <w:rPr>
          <w:rFonts w:ascii="Times New Roman" w:hAnsi="Times New Roman" w:eastAsia="宋体" w:cs="Times New Roman"/>
          <w:color w:val="auto"/>
          <w:sz w:val="24"/>
          <w:szCs w:val="22"/>
          <w14:ligatures w14:val="standardContextual"/>
        </w:rPr>
      </w:pPr>
    </w:p>
    <w:p>
      <w:pPr>
        <w:spacing w:line="360" w:lineRule="auto"/>
        <w:ind w:firstLine="0" w:firstLineChars="0"/>
        <w:jc w:val="center"/>
        <w:rPr>
          <w:rFonts w:ascii="Times New Roman" w:hAnsi="Times New Roman" w:eastAsia="宋体" w:cs="Times New Roman"/>
          <w:color w:val="auto"/>
          <w:sz w:val="24"/>
          <w:szCs w:val="22"/>
          <w14:ligatures w14:val="standardContextual"/>
        </w:rPr>
      </w:pPr>
    </w:p>
    <w:p>
      <w:pPr>
        <w:keepNext w:val="0"/>
        <w:keepLines w:val="0"/>
        <w:pageBreakBefore w:val="0"/>
        <w:widowControl w:val="0"/>
        <w:kinsoku/>
        <w:wordWrap/>
        <w:overflowPunct/>
        <w:topLinePunct w:val="0"/>
        <w:autoSpaceDE/>
        <w:autoSpaceDN/>
        <w:bidi w:val="0"/>
        <w:adjustRightInd/>
        <w:snapToGrid/>
        <w:spacing w:before="157" w:beforeLines="50" w:line="600" w:lineRule="exact"/>
        <w:ind w:firstLine="1920" w:firstLineChars="800"/>
        <w:jc w:val="left"/>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（c）剖面3</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（d）剖面4</w:t>
      </w:r>
    </w:p>
    <w:p>
      <w:pPr>
        <w:spacing w:line="276" w:lineRule="auto"/>
        <w:ind w:firstLine="0" w:firstLineChars="0"/>
        <w:jc w:val="center"/>
        <w:rPr>
          <w:rFonts w:ascii="Times New Roman" w:hAnsi="Times New Roman" w:eastAsia="宋体" w:cs="Times New Roman"/>
          <w:color w:val="auto"/>
          <w:sz w:val="21"/>
          <w:szCs w:val="21"/>
          <w14:ligatures w14:val="standardContextual"/>
        </w:rPr>
      </w:pPr>
      <w:r>
        <w:rPr>
          <w:color w:val="auto"/>
          <w14:ligatures w14:val="none"/>
        </w:rPr>
        <w:drawing>
          <wp:anchor distT="0" distB="0" distL="0" distR="0" simplePos="0" relativeHeight="251671552" behindDoc="0" locked="0" layoutInCell="1" allowOverlap="1">
            <wp:simplePos x="0" y="0"/>
            <wp:positionH relativeFrom="column">
              <wp:posOffset>3045460</wp:posOffset>
            </wp:positionH>
            <wp:positionV relativeFrom="paragraph">
              <wp:posOffset>28575</wp:posOffset>
            </wp:positionV>
            <wp:extent cx="2495550" cy="1911985"/>
            <wp:effectExtent l="0" t="0" r="0" b="12065"/>
            <wp:wrapNone/>
            <wp:docPr id="1399270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270250" name="图片 1"/>
                    <pic:cNvPicPr>
                      <a:picLocks noChangeAspect="1"/>
                    </pic:cNvPicPr>
                  </pic:nvPicPr>
                  <pic:blipFill>
                    <a:blip r:embed="rId81"/>
                    <a:stretch>
                      <a:fillRect/>
                    </a:stretch>
                  </pic:blipFill>
                  <pic:spPr>
                    <a:xfrm>
                      <a:off x="0" y="0"/>
                      <a:ext cx="2495550" cy="1911985"/>
                    </a:xfrm>
                    <a:prstGeom prst="rect">
                      <a:avLst/>
                    </a:prstGeom>
                  </pic:spPr>
                </pic:pic>
              </a:graphicData>
            </a:graphic>
          </wp:anchor>
        </w:drawing>
      </w:r>
      <w:r>
        <w:rPr>
          <w:color w:val="auto"/>
          <w14:ligatures w14:val="none"/>
        </w:rPr>
        <w:drawing>
          <wp:anchor distT="0" distB="0" distL="0" distR="0" simplePos="0" relativeHeight="251670528" behindDoc="0" locked="0" layoutInCell="1" allowOverlap="1">
            <wp:simplePos x="0" y="0"/>
            <wp:positionH relativeFrom="column">
              <wp:posOffset>331470</wp:posOffset>
            </wp:positionH>
            <wp:positionV relativeFrom="paragraph">
              <wp:posOffset>28575</wp:posOffset>
            </wp:positionV>
            <wp:extent cx="2482850" cy="1878330"/>
            <wp:effectExtent l="0" t="0" r="12700" b="7620"/>
            <wp:wrapNone/>
            <wp:docPr id="11863917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91740" name="图片 1"/>
                    <pic:cNvPicPr>
                      <a:picLocks noChangeAspect="1"/>
                    </pic:cNvPicPr>
                  </pic:nvPicPr>
                  <pic:blipFill>
                    <a:blip r:embed="rId82"/>
                    <a:stretch>
                      <a:fillRect/>
                    </a:stretch>
                  </pic:blipFill>
                  <pic:spPr>
                    <a:xfrm>
                      <a:off x="0" y="0"/>
                      <a:ext cx="2482850" cy="1878330"/>
                    </a:xfrm>
                    <a:prstGeom prst="rect">
                      <a:avLst/>
                    </a:prstGeom>
                  </pic:spPr>
                </pic:pic>
              </a:graphicData>
            </a:graphic>
          </wp:anchor>
        </w:drawing>
      </w:r>
      <w:r>
        <w:rPr>
          <w:color w:val="auto"/>
          <w14:ligatures w14:val="none"/>
        </w:rPr>
        <w:t xml:space="preserve"> </w:t>
      </w: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keepNext w:val="0"/>
        <w:keepLines w:val="0"/>
        <w:pageBreakBefore w:val="0"/>
        <w:widowControl w:val="0"/>
        <w:kinsoku/>
        <w:wordWrap/>
        <w:overflowPunct/>
        <w:topLinePunct w:val="0"/>
        <w:autoSpaceDE/>
        <w:autoSpaceDN/>
        <w:bidi w:val="0"/>
        <w:adjustRightInd/>
        <w:snapToGrid/>
        <w:spacing w:before="157" w:beforeLines="50" w:line="560" w:lineRule="exact"/>
        <w:ind w:firstLine="1920" w:firstLineChars="800"/>
        <w:jc w:val="left"/>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（e）剖面5</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（f）剖面6</w:t>
      </w:r>
    </w:p>
    <w:p>
      <w:pPr>
        <w:spacing w:line="240" w:lineRule="auto"/>
        <w:ind w:firstLine="0" w:firstLineChars="0"/>
        <w:jc w:val="center"/>
        <w:rPr>
          <w:color w:val="auto"/>
          <w:sz w:val="21"/>
          <w:szCs w:val="21"/>
        </w:rPr>
      </w:pPr>
      <w:r>
        <w:rPr>
          <w:color w:val="auto"/>
          <w14:ligatures w14:val="none"/>
        </w:rPr>
        <w:drawing>
          <wp:anchor distT="0" distB="0" distL="0" distR="0" simplePos="0" relativeHeight="251673600" behindDoc="0" locked="0" layoutInCell="1" allowOverlap="1">
            <wp:simplePos x="0" y="0"/>
            <wp:positionH relativeFrom="column">
              <wp:posOffset>2980055</wp:posOffset>
            </wp:positionH>
            <wp:positionV relativeFrom="paragraph">
              <wp:posOffset>36195</wp:posOffset>
            </wp:positionV>
            <wp:extent cx="2459355" cy="1899920"/>
            <wp:effectExtent l="0" t="0" r="17145" b="5080"/>
            <wp:wrapNone/>
            <wp:docPr id="443435692" name="图片 1"/>
            <wp:cNvGraphicFramePr/>
            <a:graphic xmlns:a="http://schemas.openxmlformats.org/drawingml/2006/main">
              <a:graphicData uri="http://schemas.openxmlformats.org/drawingml/2006/picture">
                <pic:pic xmlns:pic="http://schemas.openxmlformats.org/drawingml/2006/picture">
                  <pic:nvPicPr>
                    <pic:cNvPr id="443435692" name="图片 1"/>
                    <pic:cNvPicPr/>
                  </pic:nvPicPr>
                  <pic:blipFill>
                    <a:blip r:embed="rId83"/>
                    <a:stretch>
                      <a:fillRect/>
                    </a:stretch>
                  </pic:blipFill>
                  <pic:spPr>
                    <a:xfrm>
                      <a:off x="0" y="0"/>
                      <a:ext cx="2459355" cy="1899920"/>
                    </a:xfrm>
                    <a:prstGeom prst="rect">
                      <a:avLst/>
                    </a:prstGeom>
                  </pic:spPr>
                </pic:pic>
              </a:graphicData>
            </a:graphic>
          </wp:anchor>
        </w:drawing>
      </w:r>
      <w:r>
        <w:rPr>
          <w:color w:val="auto"/>
          <w14:ligatures w14:val="none"/>
        </w:rPr>
        <w:drawing>
          <wp:anchor distT="0" distB="0" distL="0" distR="0" simplePos="0" relativeHeight="251672576" behindDoc="0" locked="0" layoutInCell="1" allowOverlap="1">
            <wp:simplePos x="0" y="0"/>
            <wp:positionH relativeFrom="column">
              <wp:posOffset>322580</wp:posOffset>
            </wp:positionH>
            <wp:positionV relativeFrom="paragraph">
              <wp:posOffset>45720</wp:posOffset>
            </wp:positionV>
            <wp:extent cx="2483485" cy="1890395"/>
            <wp:effectExtent l="0" t="0" r="12065" b="14605"/>
            <wp:wrapNone/>
            <wp:docPr id="2045958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58832" name="图片 1"/>
                    <pic:cNvPicPr>
                      <a:picLocks noChangeAspect="1"/>
                    </pic:cNvPicPr>
                  </pic:nvPicPr>
                  <pic:blipFill>
                    <a:blip r:embed="rId84"/>
                    <a:stretch>
                      <a:fillRect/>
                    </a:stretch>
                  </pic:blipFill>
                  <pic:spPr>
                    <a:xfrm>
                      <a:off x="0" y="0"/>
                      <a:ext cx="2483485" cy="1890395"/>
                    </a:xfrm>
                    <a:prstGeom prst="rect">
                      <a:avLst/>
                    </a:prstGeom>
                  </pic:spPr>
                </pic:pic>
              </a:graphicData>
            </a:graphic>
          </wp:anchor>
        </w:drawing>
      </w:r>
      <w:r>
        <w:rPr>
          <w:color w:val="auto"/>
          <w14:ligatures w14:val="none"/>
        </w:rPr>
        <w:t xml:space="preserve"> </w:t>
      </w: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spacing w:line="276" w:lineRule="auto"/>
        <w:ind w:firstLine="0" w:firstLineChars="0"/>
        <w:jc w:val="center"/>
        <w:rPr>
          <w:rFonts w:ascii="Times New Roman" w:hAnsi="Times New Roman" w:eastAsia="宋体" w:cs="Times New Roman"/>
          <w:color w:val="auto"/>
          <w:sz w:val="21"/>
          <w:szCs w:val="21"/>
          <w14:ligatures w14:val="standardContextual"/>
        </w:rPr>
      </w:pPr>
    </w:p>
    <w:p>
      <w:pPr>
        <w:keepNext w:val="0"/>
        <w:keepLines w:val="0"/>
        <w:pageBreakBefore w:val="0"/>
        <w:widowControl w:val="0"/>
        <w:kinsoku/>
        <w:wordWrap/>
        <w:overflowPunct/>
        <w:topLinePunct w:val="0"/>
        <w:autoSpaceDE/>
        <w:autoSpaceDN/>
        <w:bidi w:val="0"/>
        <w:adjustRightInd/>
        <w:snapToGrid/>
        <w:spacing w:before="157" w:beforeLines="50" w:line="560" w:lineRule="exact"/>
        <w:ind w:firstLine="1920" w:firstLineChars="800"/>
        <w:jc w:val="left"/>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（g）剖面7</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（h）剖面8</w:t>
      </w:r>
    </w:p>
    <w:p>
      <w:pPr>
        <w:spacing w:line="240" w:lineRule="auto"/>
        <w:ind w:firstLine="0" w:firstLineChars="0"/>
        <w:jc w:val="center"/>
        <w:rPr>
          <w:color w:val="auto"/>
          <w:sz w:val="21"/>
          <w:szCs w:val="21"/>
        </w:rPr>
      </w:pPr>
      <w:r>
        <w:rPr>
          <w:color w:val="auto"/>
          <w14:ligatures w14:val="none"/>
        </w:rPr>
        <w:drawing>
          <wp:anchor distT="0" distB="0" distL="0" distR="0" simplePos="0" relativeHeight="251674624" behindDoc="0" locked="0" layoutInCell="1" allowOverlap="1">
            <wp:simplePos x="0" y="0"/>
            <wp:positionH relativeFrom="column">
              <wp:posOffset>286385</wp:posOffset>
            </wp:positionH>
            <wp:positionV relativeFrom="paragraph">
              <wp:posOffset>76835</wp:posOffset>
            </wp:positionV>
            <wp:extent cx="2519680" cy="1912620"/>
            <wp:effectExtent l="0" t="0" r="13970" b="11430"/>
            <wp:wrapNone/>
            <wp:docPr id="8592333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33325" name="图片 1"/>
                    <pic:cNvPicPr>
                      <a:picLocks noChangeAspect="1"/>
                    </pic:cNvPicPr>
                  </pic:nvPicPr>
                  <pic:blipFill>
                    <a:blip r:embed="rId85"/>
                    <a:stretch>
                      <a:fillRect/>
                    </a:stretch>
                  </pic:blipFill>
                  <pic:spPr>
                    <a:xfrm>
                      <a:off x="0" y="0"/>
                      <a:ext cx="2520000" cy="1912906"/>
                    </a:xfrm>
                    <a:prstGeom prst="rect">
                      <a:avLst/>
                    </a:prstGeom>
                  </pic:spPr>
                </pic:pic>
              </a:graphicData>
            </a:graphic>
          </wp:anchor>
        </w:drawing>
      </w:r>
      <w:r>
        <w:rPr>
          <w:color w:val="auto"/>
          <w14:ligatures w14:val="none"/>
        </w:rPr>
        <w:drawing>
          <wp:anchor distT="0" distB="0" distL="0" distR="0" simplePos="0" relativeHeight="251675648" behindDoc="0" locked="0" layoutInCell="1" allowOverlap="1">
            <wp:simplePos x="0" y="0"/>
            <wp:positionH relativeFrom="column">
              <wp:posOffset>2980055</wp:posOffset>
            </wp:positionH>
            <wp:positionV relativeFrom="paragraph">
              <wp:posOffset>79375</wp:posOffset>
            </wp:positionV>
            <wp:extent cx="2519680" cy="1910080"/>
            <wp:effectExtent l="0" t="0" r="13970" b="13970"/>
            <wp:wrapNone/>
            <wp:docPr id="7698217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821725" name="图片 1"/>
                    <pic:cNvPicPr>
                      <a:picLocks noChangeAspect="1"/>
                    </pic:cNvPicPr>
                  </pic:nvPicPr>
                  <pic:blipFill>
                    <a:blip r:embed="rId86"/>
                    <a:stretch>
                      <a:fillRect/>
                    </a:stretch>
                  </pic:blipFill>
                  <pic:spPr>
                    <a:xfrm>
                      <a:off x="0" y="0"/>
                      <a:ext cx="2520000" cy="1910176"/>
                    </a:xfrm>
                    <a:prstGeom prst="rect">
                      <a:avLst/>
                    </a:prstGeom>
                  </pic:spPr>
                </pic:pic>
              </a:graphicData>
            </a:graphic>
          </wp:anchor>
        </w:drawing>
      </w:r>
    </w:p>
    <w:p>
      <w:pPr>
        <w:spacing w:line="240" w:lineRule="auto"/>
        <w:ind w:firstLine="0" w:firstLineChars="0"/>
        <w:jc w:val="center"/>
        <w:rPr>
          <w:color w:val="auto"/>
          <w:sz w:val="21"/>
          <w:szCs w:val="21"/>
        </w:rPr>
      </w:pPr>
      <w:r>
        <w:rPr>
          <w:color w:val="auto"/>
          <w14:ligatures w14:val="none"/>
        </w:rPr>
        <w:t xml:space="preserve"> </w:t>
      </w:r>
    </w:p>
    <w:p>
      <w:pPr>
        <w:spacing w:line="240" w:lineRule="auto"/>
        <w:ind w:firstLine="0" w:firstLineChars="0"/>
        <w:jc w:val="center"/>
        <w:rPr>
          <w:color w:val="auto"/>
          <w:sz w:val="21"/>
          <w:szCs w:val="21"/>
        </w:rPr>
      </w:pPr>
    </w:p>
    <w:p>
      <w:pPr>
        <w:spacing w:line="240" w:lineRule="auto"/>
        <w:ind w:firstLine="0" w:firstLineChars="0"/>
        <w:jc w:val="center"/>
        <w:rPr>
          <w:color w:val="auto"/>
          <w:sz w:val="21"/>
          <w:szCs w:val="21"/>
        </w:rPr>
      </w:pPr>
    </w:p>
    <w:p>
      <w:pPr>
        <w:spacing w:line="240" w:lineRule="auto"/>
        <w:ind w:firstLine="0" w:firstLineChars="0"/>
        <w:jc w:val="center"/>
        <w:rPr>
          <w:color w:val="auto"/>
          <w:sz w:val="21"/>
          <w:szCs w:val="21"/>
        </w:rPr>
      </w:pPr>
    </w:p>
    <w:p>
      <w:pPr>
        <w:pStyle w:val="2"/>
        <w:rPr>
          <w:color w:val="auto"/>
        </w:rPr>
      </w:pPr>
    </w:p>
    <w:p>
      <w:pPr>
        <w:spacing w:line="240" w:lineRule="auto"/>
        <w:ind w:firstLine="0" w:firstLineChars="0"/>
        <w:jc w:val="center"/>
        <w:rPr>
          <w:color w:val="auto"/>
          <w:sz w:val="21"/>
          <w:szCs w:val="21"/>
        </w:rPr>
      </w:pPr>
    </w:p>
    <w:p>
      <w:pPr>
        <w:spacing w:line="240" w:lineRule="auto"/>
        <w:ind w:firstLine="0" w:firstLineChars="0"/>
        <w:jc w:val="center"/>
        <w:rPr>
          <w:color w:val="auto"/>
          <w:sz w:val="21"/>
          <w:szCs w:val="21"/>
        </w:rPr>
      </w:pPr>
    </w:p>
    <w:p>
      <w:pPr>
        <w:spacing w:line="240" w:lineRule="auto"/>
        <w:ind w:firstLine="0" w:firstLineChars="0"/>
        <w:jc w:val="center"/>
        <w:rPr>
          <w:color w:val="auto"/>
          <w:sz w:val="21"/>
          <w:szCs w:val="21"/>
        </w:rPr>
      </w:pPr>
    </w:p>
    <w:p>
      <w:pPr>
        <w:keepNext w:val="0"/>
        <w:keepLines w:val="0"/>
        <w:pageBreakBefore w:val="0"/>
        <w:widowControl w:val="0"/>
        <w:kinsoku/>
        <w:wordWrap/>
        <w:overflowPunct/>
        <w:topLinePunct w:val="0"/>
        <w:autoSpaceDE/>
        <w:autoSpaceDN/>
        <w:bidi w:val="0"/>
        <w:adjustRightInd/>
        <w:snapToGrid/>
        <w:spacing w:before="157" w:beforeLines="50" w:line="560" w:lineRule="exact"/>
        <w:ind w:firstLine="1920" w:firstLineChars="800"/>
        <w:jc w:val="left"/>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（i）剖面9</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（j）剖面10</w:t>
      </w:r>
    </w:p>
    <w:p>
      <w:pPr>
        <w:spacing w:line="360" w:lineRule="auto"/>
        <w:ind w:firstLine="0" w:firstLineChars="0"/>
        <w:jc w:val="center"/>
        <w:rPr>
          <w:rFonts w:ascii="Times New Roman" w:hAnsi="Times New Roman" w:eastAsia="宋体" w:cs="Times New Roman"/>
          <w:color w:val="auto"/>
          <w:sz w:val="21"/>
          <w:szCs w:val="21"/>
          <w14:ligatures w14:val="standardContextual"/>
        </w:rPr>
      </w:pPr>
      <w:r>
        <w:rPr>
          <w:color w:val="auto"/>
          <w14:ligatures w14:val="none"/>
        </w:rPr>
        <w:drawing>
          <wp:anchor distT="0" distB="0" distL="0" distR="0" simplePos="0" relativeHeight="251677696" behindDoc="0" locked="0" layoutInCell="1" allowOverlap="1">
            <wp:simplePos x="0" y="0"/>
            <wp:positionH relativeFrom="column">
              <wp:posOffset>2919730</wp:posOffset>
            </wp:positionH>
            <wp:positionV relativeFrom="paragraph">
              <wp:posOffset>50800</wp:posOffset>
            </wp:positionV>
            <wp:extent cx="2548255" cy="1939925"/>
            <wp:effectExtent l="0" t="0" r="4445" b="3175"/>
            <wp:wrapNone/>
            <wp:docPr id="1914221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21203" name="图片 1"/>
                    <pic:cNvPicPr>
                      <a:picLocks noChangeAspect="1"/>
                    </pic:cNvPicPr>
                  </pic:nvPicPr>
                  <pic:blipFill>
                    <a:blip r:embed="rId87"/>
                    <a:stretch>
                      <a:fillRect/>
                    </a:stretch>
                  </pic:blipFill>
                  <pic:spPr>
                    <a:xfrm>
                      <a:off x="0" y="0"/>
                      <a:ext cx="2548255" cy="1939925"/>
                    </a:xfrm>
                    <a:prstGeom prst="rect">
                      <a:avLst/>
                    </a:prstGeom>
                  </pic:spPr>
                </pic:pic>
              </a:graphicData>
            </a:graphic>
          </wp:anchor>
        </w:drawing>
      </w:r>
      <w:r>
        <w:rPr>
          <w:color w:val="auto"/>
          <w14:ligatures w14:val="none"/>
        </w:rPr>
        <w:drawing>
          <wp:anchor distT="0" distB="0" distL="0" distR="0" simplePos="0" relativeHeight="251676672" behindDoc="0" locked="0" layoutInCell="1" allowOverlap="1">
            <wp:simplePos x="0" y="0"/>
            <wp:positionH relativeFrom="column">
              <wp:posOffset>290195</wp:posOffset>
            </wp:positionH>
            <wp:positionV relativeFrom="paragraph">
              <wp:posOffset>58420</wp:posOffset>
            </wp:positionV>
            <wp:extent cx="2561590" cy="1932305"/>
            <wp:effectExtent l="0" t="0" r="10160" b="10795"/>
            <wp:wrapNone/>
            <wp:docPr id="7466620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662024" name="图片 1"/>
                    <pic:cNvPicPr>
                      <a:picLocks noChangeAspect="1"/>
                    </pic:cNvPicPr>
                  </pic:nvPicPr>
                  <pic:blipFill>
                    <a:blip r:embed="rId88"/>
                    <a:stretch>
                      <a:fillRect/>
                    </a:stretch>
                  </pic:blipFill>
                  <pic:spPr>
                    <a:xfrm>
                      <a:off x="0" y="0"/>
                      <a:ext cx="2561590" cy="1932305"/>
                    </a:xfrm>
                    <a:prstGeom prst="rect">
                      <a:avLst/>
                    </a:prstGeom>
                  </pic:spPr>
                </pic:pic>
              </a:graphicData>
            </a:graphic>
          </wp:anchor>
        </w:drawing>
      </w:r>
    </w:p>
    <w:p>
      <w:pPr>
        <w:spacing w:line="240" w:lineRule="auto"/>
        <w:ind w:firstLine="0" w:firstLineChars="0"/>
        <w:jc w:val="center"/>
        <w:rPr>
          <w:color w:val="auto"/>
          <w:sz w:val="21"/>
          <w:szCs w:val="21"/>
        </w:rPr>
      </w:pPr>
      <w:r>
        <w:rPr>
          <w:color w:val="auto"/>
          <w14:ligatures w14:val="none"/>
        </w:rPr>
        <w:t xml:space="preserve"> </w:t>
      </w:r>
    </w:p>
    <w:p>
      <w:pPr>
        <w:spacing w:line="360" w:lineRule="auto"/>
        <w:ind w:firstLine="0" w:firstLineChars="0"/>
        <w:jc w:val="center"/>
        <w:rPr>
          <w:rFonts w:ascii="Times New Roman" w:hAnsi="Times New Roman" w:eastAsia="宋体" w:cs="Times New Roman"/>
          <w:color w:val="auto"/>
          <w:sz w:val="21"/>
          <w:szCs w:val="21"/>
          <w14:ligatures w14:val="standardContextual"/>
        </w:rPr>
      </w:pPr>
    </w:p>
    <w:p>
      <w:pPr>
        <w:spacing w:line="360" w:lineRule="auto"/>
        <w:ind w:firstLine="0" w:firstLineChars="0"/>
        <w:jc w:val="center"/>
        <w:rPr>
          <w:rFonts w:ascii="Times New Roman" w:hAnsi="Times New Roman" w:eastAsia="宋体" w:cs="Times New Roman"/>
          <w:color w:val="auto"/>
          <w:sz w:val="21"/>
          <w:szCs w:val="21"/>
          <w14:ligatures w14:val="standardContextual"/>
        </w:rPr>
      </w:pPr>
    </w:p>
    <w:p>
      <w:pPr>
        <w:spacing w:line="360" w:lineRule="auto"/>
        <w:ind w:firstLine="0" w:firstLineChars="0"/>
        <w:jc w:val="center"/>
        <w:rPr>
          <w:rFonts w:ascii="Times New Roman" w:hAnsi="Times New Roman" w:eastAsia="宋体" w:cs="Times New Roman"/>
          <w:color w:val="auto"/>
          <w:sz w:val="21"/>
          <w:szCs w:val="21"/>
          <w14:ligatures w14:val="standardContextual"/>
        </w:rPr>
      </w:pPr>
    </w:p>
    <w:p>
      <w:pPr>
        <w:keepNext w:val="0"/>
        <w:keepLines w:val="0"/>
        <w:pageBreakBefore w:val="0"/>
        <w:widowControl w:val="0"/>
        <w:kinsoku/>
        <w:wordWrap/>
        <w:overflowPunct/>
        <w:topLinePunct w:val="0"/>
        <w:autoSpaceDE/>
        <w:autoSpaceDN/>
        <w:bidi w:val="0"/>
        <w:adjustRightInd/>
        <w:snapToGrid/>
        <w:spacing w:before="157" w:beforeLines="50" w:line="560" w:lineRule="exact"/>
        <w:ind w:firstLine="1920" w:firstLineChars="800"/>
        <w:jc w:val="left"/>
        <w:textAlignment w:val="auto"/>
        <w:rPr>
          <w:rFonts w:hint="eastAsia" w:ascii="楷体_GB2312" w:hAnsi="楷体_GB2312" w:eastAsia="楷体_GB2312" w:cs="楷体_GB2312"/>
          <w:color w:val="auto"/>
          <w:sz w:val="24"/>
          <w:szCs w:val="24"/>
          <w14:ligatures w14:val="standardContextual"/>
        </w:rPr>
      </w:pPr>
    </w:p>
    <w:p>
      <w:pPr>
        <w:keepNext w:val="0"/>
        <w:keepLines w:val="0"/>
        <w:pageBreakBefore w:val="0"/>
        <w:widowControl w:val="0"/>
        <w:kinsoku/>
        <w:wordWrap/>
        <w:overflowPunct/>
        <w:topLinePunct w:val="0"/>
        <w:autoSpaceDE/>
        <w:autoSpaceDN/>
        <w:bidi w:val="0"/>
        <w:adjustRightInd/>
        <w:snapToGrid/>
        <w:spacing w:before="157" w:beforeLines="50" w:line="560" w:lineRule="exact"/>
        <w:ind w:firstLine="1920" w:firstLineChars="800"/>
        <w:jc w:val="left"/>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（k）剖面11</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（l）剖面12</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图2-2-3  西翼工作面各剖面处煤层倾角</w:t>
      </w: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（二）水平段靶点与煤层距离关系及压裂井轨迹</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theme="minorEastAsia"/>
          <w:color w:val="auto"/>
          <w:kern w:val="2"/>
          <w:sz w:val="24"/>
          <w:szCs w:val="24"/>
          <w:lang w:val="en-US" w:eastAsia="zh-CN" w:bidi="ar-SA"/>
        </w:rPr>
      </w:pPr>
      <w:r>
        <w:rPr>
          <w:rFonts w:hint="eastAsia" w:ascii="宋体" w:hAnsi="宋体" w:eastAsia="宋体" w:cstheme="minorEastAsia"/>
          <w:color w:val="auto"/>
          <w:kern w:val="2"/>
          <w:sz w:val="24"/>
          <w:szCs w:val="24"/>
          <w:lang w:val="en-US" w:eastAsia="zh-CN" w:bidi="ar-SA"/>
        </w:rPr>
        <w:t>为了保证地面压裂卸压效果，同时避免井筒穿煤现象，将压裂井水平段压裂层位保持在距煤层55m处，在</w:t>
      </w:r>
      <w:r>
        <w:rPr>
          <w:rFonts w:hint="eastAsia" w:ascii="宋体" w:hAnsi="宋体" w:cstheme="minorEastAsia"/>
          <w:color w:val="auto"/>
          <w:kern w:val="2"/>
          <w:sz w:val="24"/>
          <w:szCs w:val="24"/>
          <w:lang w:val="en-US" w:eastAsia="zh-CN" w:bidi="ar-SA"/>
        </w:rPr>
        <w:t>南翼井田</w:t>
      </w:r>
      <w:r>
        <w:rPr>
          <w:rFonts w:hint="eastAsia" w:ascii="宋体" w:hAnsi="宋体" w:eastAsia="宋体" w:cstheme="minorEastAsia"/>
          <w:color w:val="auto"/>
          <w:kern w:val="2"/>
          <w:sz w:val="24"/>
          <w:szCs w:val="24"/>
          <w:lang w:val="en-US" w:eastAsia="zh-CN" w:bidi="ar-SA"/>
        </w:rPr>
        <w:t>西翼每个剖面处设置水平段靶点，根据该处煤层赋存特征设定靶点，各靶点空间位置</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theme="minorEastAsia"/>
          <w:color w:val="auto"/>
          <w:kern w:val="2"/>
          <w:sz w:val="24"/>
          <w:szCs w:val="24"/>
          <w:lang w:val="en-US" w:eastAsia="zh-CN" w:bidi="ar-SA"/>
        </w:rPr>
        <w:t>图2-</w:t>
      </w:r>
      <w:r>
        <w:rPr>
          <w:rFonts w:hint="eastAsia" w:ascii="宋体" w:hAnsi="宋体" w:cstheme="minorEastAsia"/>
          <w:color w:val="auto"/>
          <w:kern w:val="2"/>
          <w:sz w:val="24"/>
          <w:szCs w:val="24"/>
          <w:lang w:val="en-US" w:eastAsia="zh-CN" w:bidi="ar-SA"/>
        </w:rPr>
        <w:t>2-4</w:t>
      </w:r>
      <w:r>
        <w:rPr>
          <w:rFonts w:hint="eastAsia" w:ascii="宋体" w:hAnsi="宋体" w:cs="宋体"/>
          <w:color w:val="auto"/>
          <w:sz w:val="24"/>
          <w:szCs w:val="24"/>
          <w:lang w:eastAsia="zh-CN"/>
        </w:rPr>
        <w:t>）</w:t>
      </w:r>
      <w:r>
        <w:rPr>
          <w:rFonts w:hint="eastAsia" w:ascii="宋体" w:hAnsi="宋体" w:eastAsia="宋体" w:cstheme="minorEastAsia"/>
          <w:color w:val="auto"/>
          <w:kern w:val="2"/>
          <w:sz w:val="24"/>
          <w:szCs w:val="24"/>
          <w:lang w:val="en-US" w:eastAsia="zh-CN" w:bidi="ar-SA"/>
        </w:rPr>
        <w:t>，图中上方红色字体表示此处剖面处煤层赋存特征，依据各靶点绘制得到压裂井轨迹</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theme="minorEastAsia"/>
          <w:color w:val="auto"/>
          <w:kern w:val="2"/>
          <w:sz w:val="24"/>
          <w:szCs w:val="24"/>
          <w:lang w:val="en-US" w:eastAsia="zh-CN" w:bidi="ar-SA"/>
        </w:rPr>
        <w:t>图2-</w:t>
      </w:r>
      <w:r>
        <w:rPr>
          <w:rFonts w:hint="eastAsia" w:ascii="宋体" w:hAnsi="宋体" w:cstheme="minorEastAsia"/>
          <w:color w:val="auto"/>
          <w:kern w:val="2"/>
          <w:sz w:val="24"/>
          <w:szCs w:val="24"/>
          <w:lang w:val="en-US" w:eastAsia="zh-CN" w:bidi="ar-SA"/>
        </w:rPr>
        <w:t>2-5</w:t>
      </w:r>
      <w:r>
        <w:rPr>
          <w:rFonts w:hint="eastAsia" w:ascii="宋体" w:hAnsi="宋体" w:cs="宋体"/>
          <w:color w:val="auto"/>
          <w:sz w:val="24"/>
          <w:szCs w:val="24"/>
          <w:lang w:eastAsia="zh-CN"/>
        </w:rPr>
        <w:t>）</w:t>
      </w:r>
      <w:r>
        <w:rPr>
          <w:rFonts w:hint="eastAsia" w:ascii="宋体" w:hAnsi="宋体" w:eastAsia="宋体" w:cstheme="minorEastAsia"/>
          <w:color w:val="auto"/>
          <w:kern w:val="2"/>
          <w:sz w:val="24"/>
          <w:szCs w:val="24"/>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color w:val="auto"/>
          <w:sz w:val="21"/>
          <w:szCs w:val="21"/>
        </w:rPr>
      </w:pPr>
      <w:r>
        <w:rPr>
          <w:color w:val="auto"/>
          <w14:ligatures w14:val="none"/>
        </w:rPr>
        <w:drawing>
          <wp:anchor distT="0" distB="0" distL="0" distR="0" simplePos="0" relativeHeight="251678720" behindDoc="0" locked="0" layoutInCell="1" allowOverlap="1">
            <wp:simplePos x="0" y="0"/>
            <wp:positionH relativeFrom="column">
              <wp:posOffset>11430</wp:posOffset>
            </wp:positionH>
            <wp:positionV relativeFrom="paragraph">
              <wp:posOffset>-110490</wp:posOffset>
            </wp:positionV>
            <wp:extent cx="2533015" cy="1922780"/>
            <wp:effectExtent l="0" t="0" r="635" b="1270"/>
            <wp:wrapNone/>
            <wp:docPr id="2025426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426122" name="图片 1"/>
                    <pic:cNvPicPr>
                      <a:picLocks noChangeAspect="1"/>
                    </pic:cNvPicPr>
                  </pic:nvPicPr>
                  <pic:blipFill>
                    <a:blip r:embed="rId89"/>
                    <a:stretch>
                      <a:fillRect/>
                    </a:stretch>
                  </pic:blipFill>
                  <pic:spPr>
                    <a:xfrm>
                      <a:off x="0" y="0"/>
                      <a:ext cx="2533015" cy="1922780"/>
                    </a:xfrm>
                    <a:prstGeom prst="rect">
                      <a:avLst/>
                    </a:prstGeom>
                  </pic:spPr>
                </pic:pic>
              </a:graphicData>
            </a:graphic>
          </wp:anchor>
        </w:drawing>
      </w:r>
      <w:r>
        <w:rPr>
          <w:color w:val="auto"/>
          <w14:ligatures w14:val="none"/>
        </w:rPr>
        <w:drawing>
          <wp:anchor distT="0" distB="0" distL="0" distR="0" simplePos="0" relativeHeight="251679744" behindDoc="0" locked="0" layoutInCell="1" allowOverlap="1">
            <wp:simplePos x="0" y="0"/>
            <wp:positionH relativeFrom="column">
              <wp:posOffset>2971165</wp:posOffset>
            </wp:positionH>
            <wp:positionV relativeFrom="paragraph">
              <wp:posOffset>-113030</wp:posOffset>
            </wp:positionV>
            <wp:extent cx="2532380" cy="1925320"/>
            <wp:effectExtent l="0" t="0" r="1270" b="17780"/>
            <wp:wrapNone/>
            <wp:docPr id="83832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32115" name="图片 1"/>
                    <pic:cNvPicPr>
                      <a:picLocks noChangeAspect="1"/>
                    </pic:cNvPicPr>
                  </pic:nvPicPr>
                  <pic:blipFill>
                    <a:blip r:embed="rId90"/>
                    <a:stretch>
                      <a:fillRect/>
                    </a:stretch>
                  </pic:blipFill>
                  <pic:spPr>
                    <a:xfrm>
                      <a:off x="0" y="0"/>
                      <a:ext cx="2532380" cy="1925320"/>
                    </a:xfrm>
                    <a:prstGeom prst="rect">
                      <a:avLst/>
                    </a:prstGeom>
                  </pic:spPr>
                </pic:pic>
              </a:graphicData>
            </a:graphic>
          </wp:anchor>
        </w:drawing>
      </w:r>
      <w:r>
        <w:rPr>
          <w:rFonts w:hint="eastAsia"/>
          <w:color w:val="auto"/>
          <w:sz w:val="21"/>
          <w:szCs w:val="21"/>
        </w:rPr>
        <w:t xml:space="preserve"> </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firstLine="840" w:firstLineChars="400"/>
        <w:jc w:val="left"/>
        <w:textAlignment w:val="auto"/>
        <w:rPr>
          <w:rFonts w:hint="eastAsia"/>
          <w:color w:val="auto"/>
          <w:sz w:val="21"/>
          <w:szCs w:val="21"/>
        </w:rPr>
      </w:pPr>
      <w:r>
        <w:rPr>
          <w:color w:val="auto"/>
          <w14:ligatures w14:val="none"/>
        </w:rPr>
        <w:drawing>
          <wp:anchor distT="0" distB="0" distL="0" distR="0" simplePos="0" relativeHeight="251680768" behindDoc="0" locked="0" layoutInCell="1" allowOverlap="1">
            <wp:simplePos x="0" y="0"/>
            <wp:positionH relativeFrom="column">
              <wp:posOffset>-107315</wp:posOffset>
            </wp:positionH>
            <wp:positionV relativeFrom="paragraph">
              <wp:posOffset>251460</wp:posOffset>
            </wp:positionV>
            <wp:extent cx="2546985" cy="1929130"/>
            <wp:effectExtent l="0" t="0" r="5715" b="13970"/>
            <wp:wrapNone/>
            <wp:docPr id="16364702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70240" name="图片 1"/>
                    <pic:cNvPicPr>
                      <a:picLocks noChangeAspect="1"/>
                    </pic:cNvPicPr>
                  </pic:nvPicPr>
                  <pic:blipFill>
                    <a:blip r:embed="rId91"/>
                    <a:stretch>
                      <a:fillRect/>
                    </a:stretch>
                  </pic:blipFill>
                  <pic:spPr>
                    <a:xfrm>
                      <a:off x="0" y="0"/>
                      <a:ext cx="2546985" cy="1929130"/>
                    </a:xfrm>
                    <a:prstGeom prst="rect">
                      <a:avLst/>
                    </a:prstGeom>
                  </pic:spPr>
                </pic:pic>
              </a:graphicData>
            </a:graphic>
          </wp:anchor>
        </w:drawing>
      </w:r>
      <w:r>
        <w:rPr>
          <w:color w:val="auto"/>
          <w14:ligatures w14:val="none"/>
        </w:rPr>
        <w:drawing>
          <wp:anchor distT="0" distB="0" distL="0" distR="0" simplePos="0" relativeHeight="251681792" behindDoc="0" locked="0" layoutInCell="1" allowOverlap="1">
            <wp:simplePos x="0" y="0"/>
            <wp:positionH relativeFrom="column">
              <wp:posOffset>2904490</wp:posOffset>
            </wp:positionH>
            <wp:positionV relativeFrom="paragraph">
              <wp:posOffset>251460</wp:posOffset>
            </wp:positionV>
            <wp:extent cx="2599055" cy="1986915"/>
            <wp:effectExtent l="0" t="0" r="10795" b="13335"/>
            <wp:wrapNone/>
            <wp:docPr id="18844117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411721" name="图片 1"/>
                    <pic:cNvPicPr>
                      <a:picLocks noChangeAspect="1"/>
                    </pic:cNvPicPr>
                  </pic:nvPicPr>
                  <pic:blipFill>
                    <a:blip r:embed="rId92"/>
                    <a:stretch>
                      <a:fillRect/>
                    </a:stretch>
                  </pic:blipFill>
                  <pic:spPr>
                    <a:xfrm>
                      <a:off x="0" y="0"/>
                      <a:ext cx="2599055" cy="1986915"/>
                    </a:xfrm>
                    <a:prstGeom prst="rect">
                      <a:avLst/>
                    </a:prstGeom>
                  </pic:spPr>
                </pic:pic>
              </a:graphicData>
            </a:graphic>
          </wp:anchor>
        </w:drawing>
      </w:r>
      <w:r>
        <w:rPr>
          <w:rFonts w:hint="eastAsia" w:ascii="楷体_GB2312" w:hAnsi="楷体_GB2312" w:eastAsia="楷体_GB2312" w:cs="楷体_GB2312"/>
          <w:color w:val="auto"/>
          <w:sz w:val="24"/>
          <w:szCs w:val="24"/>
          <w14:ligatures w14:val="standardContextual"/>
        </w:rPr>
        <w:t>（a）水平段靶点2</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（b）水平段靶点3</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r>
        <w:rPr>
          <w:rFonts w:hint="eastAsia"/>
          <w:color w:val="auto"/>
          <w:sz w:val="21"/>
          <w:szCs w:val="21"/>
        </w:rPr>
        <w:t xml:space="preserve"> </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left"/>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（c）水平段靶点4</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（d）水平段靶点5</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color w:val="auto"/>
          <w:sz w:val="21"/>
          <w:szCs w:val="21"/>
        </w:rPr>
      </w:pPr>
      <w:r>
        <w:rPr>
          <w:color w:val="auto"/>
          <w14:ligatures w14:val="none"/>
        </w:rPr>
        <w:drawing>
          <wp:anchor distT="0" distB="0" distL="0" distR="0" simplePos="0" relativeHeight="251683840" behindDoc="0" locked="0" layoutInCell="1" allowOverlap="1">
            <wp:simplePos x="0" y="0"/>
            <wp:positionH relativeFrom="column">
              <wp:posOffset>2825115</wp:posOffset>
            </wp:positionH>
            <wp:positionV relativeFrom="paragraph">
              <wp:posOffset>14605</wp:posOffset>
            </wp:positionV>
            <wp:extent cx="2582545" cy="1944370"/>
            <wp:effectExtent l="0" t="0" r="8255" b="17780"/>
            <wp:wrapNone/>
            <wp:docPr id="21156989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698941" name="图片 1"/>
                    <pic:cNvPicPr>
                      <a:picLocks noChangeAspect="1"/>
                    </pic:cNvPicPr>
                  </pic:nvPicPr>
                  <pic:blipFill>
                    <a:blip r:embed="rId93"/>
                    <a:stretch>
                      <a:fillRect/>
                    </a:stretch>
                  </pic:blipFill>
                  <pic:spPr>
                    <a:xfrm>
                      <a:off x="0" y="0"/>
                      <a:ext cx="2582545" cy="1944370"/>
                    </a:xfrm>
                    <a:prstGeom prst="rect">
                      <a:avLst/>
                    </a:prstGeom>
                  </pic:spPr>
                </pic:pic>
              </a:graphicData>
            </a:graphic>
          </wp:anchor>
        </w:drawing>
      </w:r>
      <w:r>
        <w:rPr>
          <w:color w:val="auto"/>
          <w14:ligatures w14:val="none"/>
        </w:rPr>
        <w:drawing>
          <wp:anchor distT="0" distB="0" distL="0" distR="0" simplePos="0" relativeHeight="251682816" behindDoc="0" locked="0" layoutInCell="1" allowOverlap="1">
            <wp:simplePos x="0" y="0"/>
            <wp:positionH relativeFrom="column">
              <wp:posOffset>-107315</wp:posOffset>
            </wp:positionH>
            <wp:positionV relativeFrom="paragraph">
              <wp:posOffset>14605</wp:posOffset>
            </wp:positionV>
            <wp:extent cx="2587625" cy="1964055"/>
            <wp:effectExtent l="0" t="0" r="3175" b="17145"/>
            <wp:wrapNone/>
            <wp:docPr id="4165327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32776" name="图片 1"/>
                    <pic:cNvPicPr>
                      <a:picLocks noChangeAspect="1"/>
                    </pic:cNvPicPr>
                  </pic:nvPicPr>
                  <pic:blipFill>
                    <a:blip r:embed="rId94"/>
                    <a:stretch>
                      <a:fillRect/>
                    </a:stretch>
                  </pic:blipFill>
                  <pic:spPr>
                    <a:xfrm>
                      <a:off x="0" y="0"/>
                      <a:ext cx="2587625" cy="1964055"/>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color w:val="auto"/>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color w:val="auto"/>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color w:val="auto"/>
          <w:sz w:val="21"/>
          <w:szCs w:val="21"/>
        </w:rPr>
      </w:pPr>
      <w:r>
        <w:rPr>
          <w:rFonts w:hint="eastAsia"/>
          <w:color w:val="auto"/>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color w:val="auto"/>
          <w:sz w:val="21"/>
          <w:szCs w:val="21"/>
        </w:rPr>
      </w:pPr>
      <w:r>
        <w:rPr>
          <w:rFonts w:hint="eastAsia"/>
          <w:color w:val="auto"/>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color w:val="auto"/>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color w:val="auto"/>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firstLine="840" w:firstLineChars="400"/>
        <w:jc w:val="both"/>
        <w:textAlignment w:val="auto"/>
        <w:rPr>
          <w:rFonts w:hint="eastAsia" w:ascii="楷体_GB2312" w:hAnsi="楷体_GB2312" w:eastAsia="楷体_GB2312" w:cs="楷体_GB2312"/>
          <w:color w:val="auto"/>
          <w:sz w:val="24"/>
          <w:szCs w:val="24"/>
          <w14:ligatures w14:val="standardContextual"/>
        </w:rPr>
      </w:pPr>
      <w:r>
        <w:rPr>
          <w:color w:val="auto"/>
          <w14:ligatures w14:val="none"/>
        </w:rPr>
        <w:drawing>
          <wp:anchor distT="0" distB="0" distL="0" distR="0" simplePos="0" relativeHeight="251685888" behindDoc="0" locked="0" layoutInCell="1" allowOverlap="1">
            <wp:simplePos x="0" y="0"/>
            <wp:positionH relativeFrom="column">
              <wp:posOffset>2824480</wp:posOffset>
            </wp:positionH>
            <wp:positionV relativeFrom="paragraph">
              <wp:posOffset>259080</wp:posOffset>
            </wp:positionV>
            <wp:extent cx="2583180" cy="1953895"/>
            <wp:effectExtent l="0" t="0" r="7620" b="8255"/>
            <wp:wrapNone/>
            <wp:docPr id="13569982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98247" name="图片 1"/>
                    <pic:cNvPicPr>
                      <a:picLocks noChangeAspect="1"/>
                    </pic:cNvPicPr>
                  </pic:nvPicPr>
                  <pic:blipFill>
                    <a:blip r:embed="rId95"/>
                    <a:stretch>
                      <a:fillRect/>
                    </a:stretch>
                  </pic:blipFill>
                  <pic:spPr>
                    <a:xfrm>
                      <a:off x="0" y="0"/>
                      <a:ext cx="2583180" cy="1953895"/>
                    </a:xfrm>
                    <a:prstGeom prst="rect">
                      <a:avLst/>
                    </a:prstGeom>
                  </pic:spPr>
                </pic:pic>
              </a:graphicData>
            </a:graphic>
          </wp:anchor>
        </w:drawing>
      </w:r>
      <w:r>
        <w:rPr>
          <w:color w:val="auto"/>
          <w14:ligatures w14:val="none"/>
        </w:rPr>
        <w:drawing>
          <wp:anchor distT="0" distB="0" distL="0" distR="0" simplePos="0" relativeHeight="251684864" behindDoc="0" locked="0" layoutInCell="1" allowOverlap="1">
            <wp:simplePos x="0" y="0"/>
            <wp:positionH relativeFrom="column">
              <wp:posOffset>-92075</wp:posOffset>
            </wp:positionH>
            <wp:positionV relativeFrom="paragraph">
              <wp:posOffset>259080</wp:posOffset>
            </wp:positionV>
            <wp:extent cx="2572385" cy="1948180"/>
            <wp:effectExtent l="0" t="0" r="18415" b="13970"/>
            <wp:wrapNone/>
            <wp:docPr id="7384307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430745" name="图片 1"/>
                    <pic:cNvPicPr>
                      <a:picLocks noChangeAspect="1"/>
                    </pic:cNvPicPr>
                  </pic:nvPicPr>
                  <pic:blipFill>
                    <a:blip r:embed="rId96"/>
                    <a:stretch>
                      <a:fillRect/>
                    </a:stretch>
                  </pic:blipFill>
                  <pic:spPr>
                    <a:xfrm>
                      <a:off x="0" y="0"/>
                      <a:ext cx="2572385" cy="1948180"/>
                    </a:xfrm>
                    <a:prstGeom prst="rect">
                      <a:avLst/>
                    </a:prstGeom>
                  </pic:spPr>
                </pic:pic>
              </a:graphicData>
            </a:graphic>
          </wp:anchor>
        </w:drawing>
      </w:r>
      <w:r>
        <w:rPr>
          <w:rFonts w:hint="eastAsia" w:ascii="楷体_GB2312" w:hAnsi="楷体_GB2312" w:eastAsia="楷体_GB2312" w:cs="楷体_GB2312"/>
          <w:color w:val="auto"/>
          <w:sz w:val="24"/>
          <w:szCs w:val="24"/>
          <w14:ligatures w14:val="standardContextual"/>
        </w:rPr>
        <w:t>（e）水平段靶点6</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（f）水平段靶点7</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r>
        <w:rPr>
          <w:rFonts w:hint="eastAsia"/>
          <w:color w:val="auto"/>
          <w:sz w:val="21"/>
          <w:szCs w:val="21"/>
        </w:rPr>
        <w:t xml:space="preserve"> </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keepNext w:val="0"/>
        <w:keepLines w:val="0"/>
        <w:pageBreakBefore w:val="0"/>
        <w:widowControl w:val="0"/>
        <w:kinsoku/>
        <w:wordWrap/>
        <w:overflowPunct/>
        <w:topLinePunct w:val="0"/>
        <w:autoSpaceDE/>
        <w:autoSpaceDN/>
        <w:bidi w:val="0"/>
        <w:adjustRightInd/>
        <w:snapToGrid/>
        <w:spacing w:line="360" w:lineRule="auto"/>
        <w:ind w:firstLine="1200" w:firstLineChars="500"/>
        <w:jc w:val="left"/>
        <w:textAlignment w:val="auto"/>
        <w:rPr>
          <w:rFonts w:hint="eastAsia"/>
          <w:color w:val="auto"/>
          <w:sz w:val="21"/>
          <w:szCs w:val="21"/>
        </w:rPr>
      </w:pPr>
      <w:r>
        <w:rPr>
          <w:rFonts w:hint="eastAsia" w:ascii="楷体_GB2312" w:hAnsi="楷体_GB2312" w:eastAsia="楷体_GB2312" w:cs="楷体_GB2312"/>
          <w:color w:val="auto"/>
          <w:sz w:val="24"/>
          <w:szCs w:val="24"/>
          <w14:ligatures w14:val="standardContextual"/>
        </w:rPr>
        <w:t>（g）水平段靶点8</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（h）水平段靶点9</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r>
        <w:rPr>
          <w:color w:val="auto"/>
          <w14:ligatures w14:val="none"/>
        </w:rPr>
        <w:drawing>
          <wp:anchor distT="0" distB="0" distL="0" distR="0" simplePos="0" relativeHeight="251687936" behindDoc="0" locked="0" layoutInCell="1" allowOverlap="1">
            <wp:simplePos x="0" y="0"/>
            <wp:positionH relativeFrom="column">
              <wp:posOffset>2863215</wp:posOffset>
            </wp:positionH>
            <wp:positionV relativeFrom="paragraph">
              <wp:posOffset>-118110</wp:posOffset>
            </wp:positionV>
            <wp:extent cx="2614295" cy="1960880"/>
            <wp:effectExtent l="0" t="0" r="14605" b="1270"/>
            <wp:wrapNone/>
            <wp:docPr id="1074109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109496" name="图片 1"/>
                    <pic:cNvPicPr>
                      <a:picLocks noChangeAspect="1"/>
                    </pic:cNvPicPr>
                  </pic:nvPicPr>
                  <pic:blipFill>
                    <a:blip r:embed="rId97"/>
                    <a:stretch>
                      <a:fillRect/>
                    </a:stretch>
                  </pic:blipFill>
                  <pic:spPr>
                    <a:xfrm>
                      <a:off x="0" y="0"/>
                      <a:ext cx="2614295" cy="1960880"/>
                    </a:xfrm>
                    <a:prstGeom prst="rect">
                      <a:avLst/>
                    </a:prstGeom>
                  </pic:spPr>
                </pic:pic>
              </a:graphicData>
            </a:graphic>
          </wp:anchor>
        </w:drawing>
      </w:r>
      <w:r>
        <w:rPr>
          <w:color w:val="auto"/>
          <w14:ligatures w14:val="none"/>
        </w:rPr>
        <w:drawing>
          <wp:anchor distT="0" distB="0" distL="0" distR="0" simplePos="0" relativeHeight="251686912" behindDoc="0" locked="0" layoutInCell="1" allowOverlap="1">
            <wp:simplePos x="0" y="0"/>
            <wp:positionH relativeFrom="column">
              <wp:posOffset>-52070</wp:posOffset>
            </wp:positionH>
            <wp:positionV relativeFrom="paragraph">
              <wp:posOffset>-133985</wp:posOffset>
            </wp:positionV>
            <wp:extent cx="2606040" cy="1976755"/>
            <wp:effectExtent l="0" t="0" r="3810" b="4445"/>
            <wp:wrapNone/>
            <wp:docPr id="136788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8362" name="图片 1"/>
                    <pic:cNvPicPr>
                      <a:picLocks noChangeAspect="1"/>
                    </pic:cNvPicPr>
                  </pic:nvPicPr>
                  <pic:blipFill>
                    <a:blip r:embed="rId98"/>
                    <a:stretch>
                      <a:fillRect/>
                    </a:stretch>
                  </pic:blipFill>
                  <pic:spPr>
                    <a:xfrm>
                      <a:off x="0" y="0"/>
                      <a:ext cx="2606040" cy="1976755"/>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1200" w:firstLineChars="500"/>
        <w:jc w:val="left"/>
        <w:textAlignment w:val="auto"/>
        <w:rPr>
          <w:rFonts w:hint="eastAsia" w:ascii="楷体_GB2312" w:hAnsi="楷体_GB2312" w:eastAsia="楷体_GB2312" w:cs="楷体_GB2312"/>
          <w:color w:val="auto"/>
          <w:sz w:val="24"/>
          <w:szCs w:val="24"/>
          <w14:ligatures w14:val="standardContextual"/>
        </w:rPr>
      </w:pPr>
    </w:p>
    <w:p>
      <w:pPr>
        <w:keepNext w:val="0"/>
        <w:keepLines w:val="0"/>
        <w:pageBreakBefore w:val="0"/>
        <w:widowControl w:val="0"/>
        <w:kinsoku/>
        <w:wordWrap/>
        <w:overflowPunct/>
        <w:topLinePunct w:val="0"/>
        <w:autoSpaceDE/>
        <w:autoSpaceDN/>
        <w:bidi w:val="0"/>
        <w:adjustRightInd/>
        <w:snapToGrid/>
        <w:spacing w:line="360" w:lineRule="auto"/>
        <w:ind w:firstLine="1200" w:firstLineChars="500"/>
        <w:jc w:val="left"/>
        <w:textAlignment w:val="auto"/>
        <w:rPr>
          <w:rFonts w:hint="eastAsia" w:ascii="楷体_GB2312" w:hAnsi="楷体_GB2312" w:eastAsia="楷体_GB2312" w:cs="楷体_GB2312"/>
          <w:color w:val="auto"/>
          <w:sz w:val="24"/>
          <w:szCs w:val="24"/>
          <w14:ligatures w14:val="standardContextual"/>
        </w:rPr>
      </w:pPr>
    </w:p>
    <w:p>
      <w:pPr>
        <w:keepNext w:val="0"/>
        <w:keepLines w:val="0"/>
        <w:pageBreakBefore w:val="0"/>
        <w:widowControl w:val="0"/>
        <w:kinsoku/>
        <w:wordWrap/>
        <w:overflowPunct/>
        <w:topLinePunct w:val="0"/>
        <w:autoSpaceDE/>
        <w:autoSpaceDN/>
        <w:bidi w:val="0"/>
        <w:adjustRightInd/>
        <w:snapToGrid/>
        <w:spacing w:line="360" w:lineRule="auto"/>
        <w:ind w:firstLine="1200" w:firstLineChars="500"/>
        <w:jc w:val="left"/>
        <w:textAlignment w:val="auto"/>
        <w:rPr>
          <w:rFonts w:hint="eastAsia" w:ascii="楷体_GB2312" w:hAnsi="楷体_GB2312" w:eastAsia="楷体_GB2312" w:cs="楷体_GB2312"/>
          <w:color w:val="auto"/>
          <w:sz w:val="24"/>
          <w:szCs w:val="24"/>
          <w14:ligatures w14:val="standardContextual"/>
        </w:rPr>
      </w:pPr>
    </w:p>
    <w:p>
      <w:pPr>
        <w:keepNext w:val="0"/>
        <w:keepLines w:val="0"/>
        <w:pageBreakBefore w:val="0"/>
        <w:widowControl w:val="0"/>
        <w:kinsoku/>
        <w:wordWrap/>
        <w:overflowPunct/>
        <w:topLinePunct w:val="0"/>
        <w:autoSpaceDE/>
        <w:autoSpaceDN/>
        <w:bidi w:val="0"/>
        <w:adjustRightInd/>
        <w:snapToGrid/>
        <w:spacing w:line="360" w:lineRule="auto"/>
        <w:ind w:firstLine="1200" w:firstLineChars="500"/>
        <w:jc w:val="left"/>
        <w:textAlignment w:val="auto"/>
        <w:rPr>
          <w:rFonts w:hint="eastAsia" w:ascii="楷体_GB2312" w:hAnsi="楷体_GB2312" w:eastAsia="楷体_GB2312" w:cs="楷体_GB2312"/>
          <w:color w:val="auto"/>
          <w:sz w:val="24"/>
          <w:szCs w:val="24"/>
          <w14:ligatures w14:val="standardContextual"/>
        </w:rPr>
      </w:pPr>
    </w:p>
    <w:p>
      <w:pPr>
        <w:keepNext w:val="0"/>
        <w:keepLines w:val="0"/>
        <w:pageBreakBefore w:val="0"/>
        <w:widowControl w:val="0"/>
        <w:kinsoku/>
        <w:wordWrap/>
        <w:overflowPunct/>
        <w:topLinePunct w:val="0"/>
        <w:autoSpaceDE/>
        <w:autoSpaceDN/>
        <w:bidi w:val="0"/>
        <w:adjustRightInd/>
        <w:snapToGrid/>
        <w:spacing w:line="360" w:lineRule="auto"/>
        <w:ind w:firstLine="1200" w:firstLineChars="500"/>
        <w:jc w:val="left"/>
        <w:textAlignment w:val="auto"/>
        <w:rPr>
          <w:rFonts w:hint="eastAsia" w:ascii="楷体_GB2312" w:hAnsi="楷体_GB2312" w:eastAsia="楷体_GB2312" w:cs="楷体_GB2312"/>
          <w:color w:val="auto"/>
          <w:sz w:val="24"/>
          <w:szCs w:val="24"/>
          <w14:ligatures w14:val="standardContextual"/>
        </w:rPr>
      </w:pPr>
    </w:p>
    <w:p>
      <w:pPr>
        <w:keepNext w:val="0"/>
        <w:keepLines w:val="0"/>
        <w:pageBreakBefore w:val="0"/>
        <w:widowControl w:val="0"/>
        <w:kinsoku/>
        <w:wordWrap/>
        <w:overflowPunct/>
        <w:topLinePunct w:val="0"/>
        <w:autoSpaceDE/>
        <w:autoSpaceDN/>
        <w:bidi w:val="0"/>
        <w:adjustRightInd/>
        <w:snapToGrid/>
        <w:spacing w:line="360" w:lineRule="auto"/>
        <w:ind w:firstLine="1050" w:firstLineChars="500"/>
        <w:jc w:val="left"/>
        <w:textAlignment w:val="auto"/>
        <w:rPr>
          <w:rFonts w:hint="eastAsia" w:ascii="楷体_GB2312" w:hAnsi="楷体_GB2312" w:eastAsia="楷体_GB2312" w:cs="楷体_GB2312"/>
          <w:color w:val="auto"/>
          <w:sz w:val="24"/>
          <w:szCs w:val="24"/>
          <w14:ligatures w14:val="standardContextual"/>
        </w:rPr>
      </w:pPr>
      <w:r>
        <w:rPr>
          <w:color w:val="auto"/>
          <w14:ligatures w14:val="none"/>
        </w:rPr>
        <w:drawing>
          <wp:anchor distT="0" distB="0" distL="0" distR="0" simplePos="0" relativeHeight="251688960" behindDoc="0" locked="0" layoutInCell="1" allowOverlap="1">
            <wp:simplePos x="0" y="0"/>
            <wp:positionH relativeFrom="column">
              <wp:posOffset>-52070</wp:posOffset>
            </wp:positionH>
            <wp:positionV relativeFrom="paragraph">
              <wp:posOffset>261620</wp:posOffset>
            </wp:positionV>
            <wp:extent cx="2585085" cy="1960880"/>
            <wp:effectExtent l="0" t="0" r="5715" b="1270"/>
            <wp:wrapNone/>
            <wp:docPr id="11292484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48405" name="图片 1"/>
                    <pic:cNvPicPr>
                      <a:picLocks noChangeAspect="1"/>
                    </pic:cNvPicPr>
                  </pic:nvPicPr>
                  <pic:blipFill>
                    <a:blip r:embed="rId99"/>
                    <a:stretch>
                      <a:fillRect/>
                    </a:stretch>
                  </pic:blipFill>
                  <pic:spPr>
                    <a:xfrm>
                      <a:off x="0" y="0"/>
                      <a:ext cx="2585085" cy="1960880"/>
                    </a:xfrm>
                    <a:prstGeom prst="rect">
                      <a:avLst/>
                    </a:prstGeom>
                  </pic:spPr>
                </pic:pic>
              </a:graphicData>
            </a:graphic>
          </wp:anchor>
        </w:drawing>
      </w:r>
      <w:r>
        <w:rPr>
          <w:color w:val="auto"/>
          <w14:ligatures w14:val="none"/>
        </w:rPr>
        <w:drawing>
          <wp:anchor distT="0" distB="0" distL="0" distR="0" simplePos="0" relativeHeight="251689984" behindDoc="0" locked="0" layoutInCell="1" allowOverlap="1">
            <wp:simplePos x="0" y="0"/>
            <wp:positionH relativeFrom="column">
              <wp:posOffset>2863215</wp:posOffset>
            </wp:positionH>
            <wp:positionV relativeFrom="paragraph">
              <wp:posOffset>261620</wp:posOffset>
            </wp:positionV>
            <wp:extent cx="2591435" cy="1947545"/>
            <wp:effectExtent l="0" t="0" r="18415" b="14605"/>
            <wp:wrapNone/>
            <wp:docPr id="10065588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58882" name="图片 1"/>
                    <pic:cNvPicPr>
                      <a:picLocks noChangeAspect="1"/>
                    </pic:cNvPicPr>
                  </pic:nvPicPr>
                  <pic:blipFill>
                    <a:blip r:embed="rId100"/>
                    <a:stretch>
                      <a:fillRect/>
                    </a:stretch>
                  </pic:blipFill>
                  <pic:spPr>
                    <a:xfrm>
                      <a:off x="0" y="0"/>
                      <a:ext cx="2591435" cy="1947545"/>
                    </a:xfrm>
                    <a:prstGeom prst="rect">
                      <a:avLst/>
                    </a:prstGeom>
                  </pic:spPr>
                </pic:pic>
              </a:graphicData>
            </a:graphic>
          </wp:anchor>
        </w:drawing>
      </w:r>
      <w:r>
        <w:rPr>
          <w:rFonts w:hint="eastAsia" w:ascii="楷体_GB2312" w:hAnsi="楷体_GB2312" w:eastAsia="楷体_GB2312" w:cs="楷体_GB2312"/>
          <w:color w:val="auto"/>
          <w:sz w:val="24"/>
          <w:szCs w:val="24"/>
          <w14:ligatures w14:val="standardContextual"/>
        </w:rPr>
        <w:t>（i）水平段靶点10</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（g）水平段靶点11</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sz w:val="21"/>
          <w:szCs w:val="21"/>
        </w:rPr>
      </w:pPr>
      <w:r>
        <w:rPr>
          <w:rFonts w:hint="eastAsia"/>
          <w:color w:val="auto"/>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left"/>
        <w:textAlignment w:val="auto"/>
        <w:rPr>
          <w:rFonts w:hint="eastAsia" w:ascii="楷体_GB2312" w:hAnsi="楷体_GB2312" w:eastAsia="楷体_GB2312" w:cs="楷体_GB2312"/>
          <w:color w:val="auto"/>
          <w:sz w:val="24"/>
          <w:szCs w:val="24"/>
          <w14:ligatures w14:val="standardContextual"/>
        </w:rPr>
      </w:pPr>
      <w:r>
        <w:rPr>
          <w:rFonts w:hint="eastAsia" w:ascii="楷体_GB2312" w:hAnsi="楷体_GB2312" w:eastAsia="楷体_GB2312" w:cs="楷体_GB2312"/>
          <w:color w:val="auto"/>
          <w:sz w:val="24"/>
          <w:szCs w:val="24"/>
          <w14:ligatures w14:val="standardContextual"/>
        </w:rPr>
        <w:t>（k）水平段靶点12</w:t>
      </w:r>
      <w:r>
        <w:rPr>
          <w:rFonts w:hint="eastAsia" w:ascii="楷体_GB2312" w:hAnsi="楷体_GB2312" w:eastAsia="楷体_GB2312" w:cs="楷体_GB2312"/>
          <w:color w:val="auto"/>
          <w:sz w:val="24"/>
          <w:szCs w:val="24"/>
          <w:lang w:val="en-US" w:eastAsia="zh-CN"/>
          <w14:ligatures w14:val="standardContextual"/>
        </w:rPr>
        <w:t xml:space="preserve">                  </w:t>
      </w:r>
      <w:r>
        <w:rPr>
          <w:rFonts w:hint="eastAsia" w:ascii="楷体_GB2312" w:hAnsi="楷体_GB2312" w:eastAsia="楷体_GB2312" w:cs="楷体_GB2312"/>
          <w:color w:val="auto"/>
          <w:sz w:val="24"/>
          <w:szCs w:val="24"/>
          <w14:ligatures w14:val="standardContextual"/>
        </w:rPr>
        <w:t>（l）水平段靶点13</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color w:val="auto"/>
        </w:rPr>
        <w:drawing>
          <wp:anchor distT="0" distB="0" distL="114300" distR="114300" simplePos="0" relativeHeight="251704320" behindDoc="0" locked="0" layoutInCell="1" allowOverlap="1">
            <wp:simplePos x="0" y="0"/>
            <wp:positionH relativeFrom="column">
              <wp:posOffset>-254635</wp:posOffset>
            </wp:positionH>
            <wp:positionV relativeFrom="paragraph">
              <wp:posOffset>306705</wp:posOffset>
            </wp:positionV>
            <wp:extent cx="5723890" cy="1835150"/>
            <wp:effectExtent l="0" t="0" r="10160" b="1270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01"/>
                    <a:stretch>
                      <a:fillRect/>
                    </a:stretch>
                  </pic:blipFill>
                  <pic:spPr>
                    <a:xfrm>
                      <a:off x="0" y="0"/>
                      <a:ext cx="5723890" cy="1835150"/>
                    </a:xfrm>
                    <a:prstGeom prst="rect">
                      <a:avLst/>
                    </a:prstGeom>
                    <a:noFill/>
                    <a:ln>
                      <a:noFill/>
                    </a:ln>
                  </pic:spPr>
                </pic:pic>
              </a:graphicData>
            </a:graphic>
          </wp:anchor>
        </w:drawing>
      </w:r>
      <w:r>
        <w:rPr>
          <w:rFonts w:hint="eastAsia" w:ascii="楷体_GB2312" w:hAnsi="楷体_GB2312" w:eastAsia="楷体_GB2312" w:cs="楷体_GB2312"/>
          <w:color w:val="auto"/>
          <w:kern w:val="2"/>
          <w:sz w:val="24"/>
          <w:szCs w:val="24"/>
          <w:lang w:val="en-US" w:eastAsia="zh-CN" w:bidi="ar-SA"/>
          <w14:ligatures w14:val="standardContextual"/>
        </w:rPr>
        <w:t>图2-2-4  与煤层距离关系</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Theme="minorEastAsia" w:hAnsiTheme="minorEastAsia" w:eastAsiaTheme="minorEastAsia" w:cstheme="minorEastAsia"/>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Theme="minorEastAsia" w:hAnsiTheme="minorEastAsia" w:eastAsiaTheme="minorEastAsia" w:cstheme="minorEastAsia"/>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Theme="minorEastAsia" w:hAnsiTheme="minorEastAsia" w:eastAsiaTheme="minorEastAsia" w:cstheme="minorEastAsia"/>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Theme="minorEastAsia" w:hAnsiTheme="minorEastAsia" w:eastAsiaTheme="minorEastAsia" w:cstheme="minorEastAsia"/>
          <w:color w:val="auto"/>
          <w:kern w:val="2"/>
          <w:sz w:val="24"/>
          <w:szCs w:val="24"/>
          <w:lang w:val="en-US" w:eastAsia="zh-CN" w:bidi="ar-SA"/>
          <w14:ligatures w14:val="standardContextual"/>
        </w:rPr>
      </w:pPr>
    </w:p>
    <w:p>
      <w:pPr>
        <w:spacing w:line="360" w:lineRule="auto"/>
        <w:ind w:firstLine="0" w:firstLineChars="0"/>
        <w:jc w:val="center"/>
        <w:rPr>
          <w:rFonts w:ascii="Times New Roman" w:hAnsi="Times New Roman" w:eastAsia="宋体" w:cs="Times New Roman"/>
          <w:color w:val="auto"/>
          <w:sz w:val="21"/>
          <w:szCs w:val="21"/>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图2-2-5  压裂井轨迹</w:t>
      </w:r>
      <w:bookmarkStart w:id="114" w:name="_Toc153047277"/>
    </w:p>
    <w:p>
      <w:pPr>
        <w:pStyle w:val="57"/>
        <w:keepNext w:val="0"/>
        <w:keepLines w:val="0"/>
        <w:pageBreakBefore w:val="0"/>
        <w:widowControl w:val="0"/>
        <w:kinsoku/>
        <w:wordWrap/>
        <w:overflowPunct/>
        <w:topLinePunct w:val="0"/>
        <w:autoSpaceDE/>
        <w:autoSpaceDN/>
        <w:bidi w:val="0"/>
        <w:adjustRightInd/>
        <w:snapToGrid/>
        <w:spacing w:line="520" w:lineRule="exact"/>
        <w:ind w:firstLine="482" w:firstLineChars="200"/>
        <w:jc w:val="both"/>
        <w:textAlignment w:val="auto"/>
        <w:rPr>
          <w:rFonts w:hint="eastAsia" w:asciiTheme="minorEastAsia" w:hAnsiTheme="minorEastAsia" w:eastAsiaTheme="minorEastAsia" w:cstheme="minorEastAsia"/>
          <w:b/>
          <w:bCs/>
          <w:color w:val="auto"/>
          <w:lang w:val="en-US" w:eastAsia="zh-CN"/>
        </w:rPr>
      </w:pPr>
      <w:bookmarkStart w:id="115" w:name="_Toc200569868"/>
      <w:r>
        <w:rPr>
          <w:rFonts w:hint="eastAsia" w:asciiTheme="minorEastAsia" w:hAnsiTheme="minorEastAsia" w:eastAsiaTheme="minorEastAsia" w:cstheme="minorEastAsia"/>
          <w:b/>
          <w:bCs/>
          <w:color w:val="auto"/>
          <w:lang w:val="en-US" w:eastAsia="zh-CN"/>
        </w:rPr>
        <w:t>三、压裂井位置确定</w:t>
      </w:r>
      <w:bookmarkEnd w:id="114"/>
      <w:bookmarkEnd w:id="115"/>
    </w:p>
    <w:p>
      <w:pPr>
        <w:pStyle w:val="57"/>
        <w:keepNext w:val="0"/>
        <w:keepLines w:val="0"/>
        <w:pageBreakBefore w:val="0"/>
        <w:widowControl w:val="0"/>
        <w:kinsoku/>
        <w:wordWrap/>
        <w:overflowPunct/>
        <w:topLinePunct w:val="0"/>
        <w:autoSpaceDE/>
        <w:autoSpaceDN/>
        <w:bidi w:val="0"/>
        <w:adjustRightInd/>
        <w:snapToGrid/>
        <w:spacing w:line="520" w:lineRule="exact"/>
        <w:ind w:firstLine="480" w:firstLineChars="200"/>
        <w:jc w:val="both"/>
        <w:textAlignment w:val="auto"/>
        <w:rPr>
          <w:rFonts w:hint="default"/>
          <w:color w:val="auto"/>
          <w:lang w:val="en-US" w:eastAsia="zh-CN"/>
        </w:rPr>
      </w:pPr>
      <w:r>
        <w:rPr>
          <w:rFonts w:hint="eastAsia"/>
          <w:color w:val="auto"/>
          <w:lang w:val="en-US" w:eastAsia="zh-CN"/>
        </w:rPr>
        <w:t>（一）井口位置确定</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jc w:val="both"/>
        <w:textAlignment w:val="auto"/>
        <w:rPr>
          <w:rFonts w:hint="eastAsia" w:asciiTheme="minorEastAsia" w:hAnsiTheme="minorEastAsia" w:eastAsiaTheme="minorEastAsia" w:cstheme="minorEastAsia"/>
          <w:bCs/>
          <w:color w:val="auto"/>
          <w:sz w:val="24"/>
          <w:szCs w:val="24"/>
        </w:rPr>
      </w:pPr>
      <w:r>
        <w:rPr>
          <w:rFonts w:hint="eastAsia" w:asciiTheme="minorEastAsia" w:hAnsiTheme="minorEastAsia" w:eastAsiaTheme="minorEastAsia" w:cstheme="minorEastAsia"/>
          <w:bCs/>
          <w:color w:val="auto"/>
          <w:sz w:val="24"/>
          <w:szCs w:val="24"/>
          <w:lang w:val="en-US" w:eastAsia="zh-CN"/>
        </w:rPr>
        <w:t>1.</w:t>
      </w:r>
      <w:r>
        <w:rPr>
          <w:rFonts w:hint="eastAsia" w:asciiTheme="minorEastAsia" w:hAnsiTheme="minorEastAsia" w:eastAsiaTheme="minorEastAsia" w:cstheme="minorEastAsia"/>
          <w:bCs/>
          <w:color w:val="auto"/>
          <w:sz w:val="24"/>
          <w:szCs w:val="24"/>
        </w:rPr>
        <w:t>布置原则</w:t>
      </w:r>
    </w:p>
    <w:p>
      <w:pPr>
        <w:keepNext w:val="0"/>
        <w:keepLines w:val="0"/>
        <w:pageBreakBefore w:val="0"/>
        <w:widowControl w:val="0"/>
        <w:kinsoku/>
        <w:wordWrap/>
        <w:overflowPunct/>
        <w:topLinePunct w:val="0"/>
        <w:autoSpaceDE/>
        <w:autoSpaceDN/>
        <w:bidi w:val="0"/>
        <w:adjustRightInd/>
        <w:snapToGrid/>
        <w:spacing w:line="52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根据自然环境、钻机类型及钻井工艺要求确定钻井设备安放位置</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满足防喷、防爆、防火、防毒、防冻等安全要求</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有利废弃物回收处理，防止环境污染</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钻机井架和动力基础应尽力选在</w:t>
      </w:r>
      <w:r>
        <w:rPr>
          <w:rFonts w:hint="eastAsia" w:asciiTheme="minorEastAsia" w:hAnsiTheme="minorEastAsia" w:eastAsiaTheme="minorEastAsia" w:cstheme="minorEastAsia"/>
          <w:color w:val="auto"/>
          <w:sz w:val="24"/>
          <w:szCs w:val="24"/>
          <w:lang w:val="en-US" w:eastAsia="zh-CN"/>
        </w:rPr>
        <w:t>平整</w:t>
      </w:r>
      <w:r>
        <w:rPr>
          <w:rFonts w:hint="eastAsia" w:asciiTheme="minorEastAsia" w:hAnsiTheme="minorEastAsia" w:eastAsiaTheme="minorEastAsia" w:cstheme="minorEastAsia"/>
          <w:color w:val="auto"/>
          <w:sz w:val="24"/>
          <w:szCs w:val="24"/>
        </w:rPr>
        <w:t>处。</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bCs/>
          <w:color w:val="auto"/>
          <w:sz w:val="24"/>
          <w:szCs w:val="24"/>
        </w:rPr>
      </w:pPr>
      <w:r>
        <w:rPr>
          <w:rFonts w:hint="eastAsia" w:asciiTheme="minorEastAsia" w:hAnsiTheme="minorEastAsia" w:eastAsiaTheme="minorEastAsia" w:cstheme="minorEastAsia"/>
          <w:bCs/>
          <w:color w:val="auto"/>
          <w:sz w:val="24"/>
          <w:szCs w:val="24"/>
          <w:lang w:val="en-US" w:eastAsia="zh-CN"/>
        </w:rPr>
        <w:t>2.</w:t>
      </w:r>
      <w:r>
        <w:rPr>
          <w:rFonts w:hint="eastAsia" w:asciiTheme="minorEastAsia" w:hAnsiTheme="minorEastAsia" w:eastAsiaTheme="minorEastAsia" w:cstheme="minorEastAsia"/>
          <w:bCs/>
          <w:color w:val="auto"/>
          <w:sz w:val="24"/>
          <w:szCs w:val="24"/>
        </w:rPr>
        <w:t>井场布置技术要求</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井口距高压线及其他永久性设施不小于75m，距民宅不小于100m</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布置大门方向应考虑风频、风向。大门方向应背向季节风</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考虑本井作业需要，</w:t>
      </w:r>
      <w:r>
        <w:rPr>
          <w:rFonts w:hint="eastAsia" w:asciiTheme="minorEastAsia" w:hAnsiTheme="minorEastAsia" w:eastAsiaTheme="minorEastAsia" w:cstheme="minorEastAsia"/>
          <w:color w:val="auto"/>
          <w:sz w:val="24"/>
          <w:szCs w:val="24"/>
          <w:lang w:val="en-US" w:eastAsia="zh-CN"/>
        </w:rPr>
        <w:t>工业场地面积需要6</w:t>
      </w:r>
      <w:r>
        <w:rPr>
          <w:rFonts w:hint="eastAsia" w:asciiTheme="minorEastAsia" w:hAnsiTheme="minorEastAsia" w:eastAsiaTheme="minorEastAsia" w:cstheme="minorEastAsia"/>
          <w:color w:val="auto"/>
          <w:sz w:val="24"/>
          <w:szCs w:val="24"/>
        </w:rPr>
        <w:t>0</w:t>
      </w:r>
      <w:r>
        <w:rPr>
          <w:rFonts w:hint="eastAsia" w:asciiTheme="minorEastAsia" w:hAnsiTheme="minorEastAsia" w:eastAsiaTheme="minorEastAsia" w:cstheme="minorEastAsia"/>
          <w:color w:val="auto"/>
          <w:sz w:val="24"/>
          <w:szCs w:val="24"/>
          <w:lang w:val="en-US" w:eastAsia="zh-CN"/>
        </w:rPr>
        <w:t>m</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val="en-US" w:eastAsia="zh-CN"/>
        </w:rPr>
        <w:t>8</w:t>
      </w:r>
      <w:r>
        <w:rPr>
          <w:rFonts w:hint="eastAsia" w:asciiTheme="minorEastAsia" w:hAnsiTheme="minorEastAsia" w:eastAsiaTheme="minorEastAsia" w:cstheme="minorEastAsia"/>
          <w:color w:val="auto"/>
          <w:sz w:val="24"/>
          <w:szCs w:val="24"/>
        </w:rPr>
        <w:t>0m</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根据不同钻机类型布置井架底座、绞车、柴油机及联动机、电动机、钻井泵的位置；柴油机排气管出口要避免指向油罐区，各设备摆放应注意安全距离。</w:t>
      </w:r>
    </w:p>
    <w:p>
      <w:pPr>
        <w:pStyle w:val="22"/>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520" w:lineRule="exact"/>
        <w:ind w:left="0" w:right="0" w:firstLine="480" w:firstLineChars="200"/>
        <w:jc w:val="both"/>
        <w:textAlignment w:val="auto"/>
        <w:rPr>
          <w:rFonts w:hint="default" w:ascii="Segoe UI" w:hAnsi="Segoe UI" w:eastAsia="Segoe UI" w:cs="Segoe UI"/>
          <w:i w:val="0"/>
          <w:iCs w:val="0"/>
          <w:caps w:val="0"/>
          <w:color w:val="auto"/>
          <w:spacing w:val="0"/>
          <w:sz w:val="24"/>
          <w:szCs w:val="24"/>
        </w:rPr>
      </w:pPr>
      <w:r>
        <w:rPr>
          <w:rFonts w:hint="eastAsia" w:asciiTheme="minorEastAsia" w:hAnsiTheme="minorEastAsia" w:eastAsiaTheme="minorEastAsia" w:cstheme="minorEastAsia"/>
          <w:color w:val="auto"/>
          <w:sz w:val="24"/>
          <w:szCs w:val="24"/>
          <w:lang w:val="en-US" w:eastAsia="zh-CN"/>
        </w:rPr>
        <w:t>根据井场布置原则以及相关技术要求，结合现场踏勘情况，</w:t>
      </w:r>
      <w:r>
        <w:rPr>
          <w:rFonts w:ascii="Segoe UI" w:hAnsi="Segoe UI" w:eastAsia="Segoe UI" w:cs="Segoe UI"/>
          <w:i w:val="0"/>
          <w:iCs w:val="0"/>
          <w:caps w:val="0"/>
          <w:color w:val="auto"/>
          <w:spacing w:val="0"/>
          <w:sz w:val="24"/>
          <w:szCs w:val="24"/>
          <w:shd w:val="clear" w:fill="FFFFFF"/>
        </w:rPr>
        <w:t>将井场位置选定于白银市平川区黄峤乡西北部的牛拜村</w:t>
      </w:r>
      <w:r>
        <w:rPr>
          <w:rFonts w:hint="eastAsia" w:asciiTheme="minorEastAsia" w:hAnsiTheme="minorEastAsia" w:eastAsiaTheme="minorEastAsia" w:cstheme="minorEastAsia"/>
          <w:color w:val="auto"/>
          <w:sz w:val="24"/>
          <w:szCs w:val="24"/>
          <w:lang w:val="en-US" w:eastAsia="zh-CN"/>
        </w:rPr>
        <w:t>（见图2-2-6）</w:t>
      </w:r>
      <w:r>
        <w:rPr>
          <w:rFonts w:ascii="Segoe UI" w:hAnsi="Segoe UI" w:eastAsia="Segoe UI" w:cs="Segoe UI"/>
          <w:i w:val="0"/>
          <w:iCs w:val="0"/>
          <w:caps w:val="0"/>
          <w:color w:val="auto"/>
          <w:spacing w:val="0"/>
          <w:sz w:val="24"/>
          <w:szCs w:val="24"/>
          <w:shd w:val="clear" w:fill="FFFFFF"/>
        </w:rPr>
        <w:t>。</w:t>
      </w:r>
      <w:r>
        <w:rPr>
          <w:rFonts w:hint="default" w:ascii="Segoe UI" w:hAnsi="Segoe UI" w:eastAsia="Segoe UI" w:cs="Segoe UI"/>
          <w:i w:val="0"/>
          <w:iCs w:val="0"/>
          <w:caps w:val="0"/>
          <w:color w:val="auto"/>
          <w:spacing w:val="0"/>
          <w:sz w:val="24"/>
          <w:szCs w:val="24"/>
          <w:shd w:val="clear" w:fill="FFFFFF"/>
        </w:rPr>
        <w:t>该区域地势开阔平坦，场地平整度良好，不仅</w:t>
      </w:r>
      <w:r>
        <w:rPr>
          <w:rFonts w:hint="eastAsia" w:ascii="Segoe UI" w:hAnsi="Segoe UI" w:eastAsia="宋体" w:cs="Segoe UI"/>
          <w:i w:val="0"/>
          <w:iCs w:val="0"/>
          <w:caps w:val="0"/>
          <w:color w:val="auto"/>
          <w:spacing w:val="0"/>
          <w:sz w:val="24"/>
          <w:szCs w:val="24"/>
          <w:shd w:val="clear" w:fill="FFFFFF"/>
          <w:lang w:val="en-US" w:eastAsia="zh-CN"/>
        </w:rPr>
        <w:t>便于</w:t>
      </w:r>
      <w:r>
        <w:rPr>
          <w:rFonts w:hint="default" w:ascii="Segoe UI" w:hAnsi="Segoe UI" w:eastAsia="Segoe UI" w:cs="Segoe UI"/>
          <w:i w:val="0"/>
          <w:iCs w:val="0"/>
          <w:caps w:val="0"/>
          <w:color w:val="auto"/>
          <w:spacing w:val="0"/>
          <w:sz w:val="24"/>
          <w:szCs w:val="24"/>
          <w:shd w:val="clear" w:fill="FFFFFF"/>
        </w:rPr>
        <w:t>施工设备、材料进场布置与安装，也为井场各类功能区的合理规划提供了</w:t>
      </w:r>
      <w:r>
        <w:rPr>
          <w:rFonts w:hint="eastAsia" w:ascii="Segoe UI" w:hAnsi="Segoe UI" w:eastAsia="宋体" w:cs="Segoe UI"/>
          <w:i w:val="0"/>
          <w:iCs w:val="0"/>
          <w:caps w:val="0"/>
          <w:color w:val="auto"/>
          <w:spacing w:val="0"/>
          <w:sz w:val="24"/>
          <w:szCs w:val="24"/>
          <w:shd w:val="clear" w:fill="FFFFFF"/>
          <w:lang w:val="en-US" w:eastAsia="zh-CN"/>
        </w:rPr>
        <w:t>良好</w:t>
      </w:r>
      <w:r>
        <w:rPr>
          <w:rFonts w:hint="default" w:ascii="Segoe UI" w:hAnsi="Segoe UI" w:eastAsia="Segoe UI" w:cs="Segoe UI"/>
          <w:i w:val="0"/>
          <w:iCs w:val="0"/>
          <w:caps w:val="0"/>
          <w:color w:val="auto"/>
          <w:spacing w:val="0"/>
          <w:sz w:val="24"/>
          <w:szCs w:val="24"/>
          <w:shd w:val="clear" w:fill="FFFFFF"/>
        </w:rPr>
        <w:t>条件，有效减少了前期场地平整的工作量</w:t>
      </w:r>
      <w:r>
        <w:rPr>
          <w:rFonts w:hint="eastAsia" w:ascii="Segoe UI" w:hAnsi="Segoe UI" w:eastAsia="宋体" w:cs="Segoe UI"/>
          <w:i w:val="0"/>
          <w:iCs w:val="0"/>
          <w:caps w:val="0"/>
          <w:color w:val="auto"/>
          <w:spacing w:val="0"/>
          <w:sz w:val="24"/>
          <w:szCs w:val="24"/>
          <w:shd w:val="clear" w:fill="FFFFFF"/>
          <w:lang w:eastAsia="zh-CN"/>
        </w:rPr>
        <w:t>；</w:t>
      </w:r>
      <w:r>
        <w:rPr>
          <w:rFonts w:hint="default" w:ascii="Segoe UI" w:hAnsi="Segoe UI" w:eastAsia="Segoe UI" w:cs="Segoe UI"/>
          <w:i w:val="0"/>
          <w:iCs w:val="0"/>
          <w:caps w:val="0"/>
          <w:color w:val="auto"/>
          <w:spacing w:val="0"/>
          <w:sz w:val="24"/>
          <w:szCs w:val="24"/>
          <w:shd w:val="clear" w:fill="FFFFFF"/>
        </w:rPr>
        <w:t>其次，场址周边交通条件便利，与现有乡镇道路及区域公路网络衔接顺畅，有效保障了施工期间大型设备、物资的安全、便捷运输</w:t>
      </w:r>
      <w:r>
        <w:rPr>
          <w:rFonts w:hint="eastAsia" w:ascii="Segoe UI" w:hAnsi="Segoe UI" w:eastAsia="宋体" w:cs="Segoe UI"/>
          <w:i w:val="0"/>
          <w:iCs w:val="0"/>
          <w:caps w:val="0"/>
          <w:color w:val="auto"/>
          <w:spacing w:val="0"/>
          <w:sz w:val="24"/>
          <w:szCs w:val="24"/>
          <w:shd w:val="clear" w:fill="FFFFFF"/>
          <w:lang w:eastAsia="zh-CN"/>
        </w:rPr>
        <w:t>；</w:t>
      </w:r>
      <w:r>
        <w:rPr>
          <w:rFonts w:hint="eastAsia" w:ascii="Segoe UI" w:hAnsi="Segoe UI" w:eastAsia="宋体" w:cs="Segoe UI"/>
          <w:i w:val="0"/>
          <w:iCs w:val="0"/>
          <w:caps w:val="0"/>
          <w:color w:val="auto"/>
          <w:spacing w:val="0"/>
          <w:sz w:val="24"/>
          <w:szCs w:val="24"/>
          <w:shd w:val="clear" w:fill="FFFFFF"/>
          <w:lang w:val="en-US" w:eastAsia="zh-CN"/>
        </w:rPr>
        <w:t>另外</w:t>
      </w:r>
      <w:r>
        <w:rPr>
          <w:rFonts w:hint="default" w:ascii="Segoe UI" w:hAnsi="Segoe UI" w:eastAsia="Segoe UI" w:cs="Segoe UI"/>
          <w:i w:val="0"/>
          <w:iCs w:val="0"/>
          <w:caps w:val="0"/>
          <w:color w:val="auto"/>
          <w:spacing w:val="0"/>
          <w:sz w:val="24"/>
          <w:szCs w:val="24"/>
          <w:shd w:val="clear" w:fill="FFFFFF"/>
        </w:rPr>
        <w:t>，该选址地质条件稳定，周边环境相对简单，无重大环境敏感点和密集民居，不仅有利于施工期间的安全管控，也最大限度地降低了对周边生产生活的影响，符合安全生产、文明施工的要求。</w:t>
      </w:r>
    </w:p>
    <w:p>
      <w:pPr>
        <w:pStyle w:val="24"/>
        <w:jc w:val="both"/>
        <w:rPr>
          <w:rFonts w:hint="default"/>
          <w:color w:val="auto"/>
          <w:lang w:val="en-US" w:eastAsia="zh-CN"/>
        </w:rPr>
      </w:pPr>
      <w:r>
        <w:rPr>
          <w:color w:val="auto"/>
        </w:rPr>
        <w:drawing>
          <wp:anchor distT="0" distB="0" distL="114300" distR="114300" simplePos="0" relativeHeight="251707392" behindDoc="0" locked="0" layoutInCell="1" allowOverlap="1">
            <wp:simplePos x="0" y="0"/>
            <wp:positionH relativeFrom="column">
              <wp:posOffset>694055</wp:posOffset>
            </wp:positionH>
            <wp:positionV relativeFrom="paragraph">
              <wp:posOffset>25400</wp:posOffset>
            </wp:positionV>
            <wp:extent cx="4284345" cy="3218815"/>
            <wp:effectExtent l="0" t="0" r="1905" b="635"/>
            <wp:wrapNone/>
            <wp:docPr id="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9"/>
                    <pic:cNvPicPr>
                      <a:picLocks noChangeAspect="1"/>
                    </pic:cNvPicPr>
                  </pic:nvPicPr>
                  <pic:blipFill>
                    <a:blip r:embed="rId102"/>
                    <a:stretch>
                      <a:fillRect/>
                    </a:stretch>
                  </pic:blipFill>
                  <pic:spPr>
                    <a:xfrm>
                      <a:off x="0" y="0"/>
                      <a:ext cx="4284345" cy="3218815"/>
                    </a:xfrm>
                    <a:prstGeom prst="rect">
                      <a:avLst/>
                    </a:prstGeom>
                    <a:noFill/>
                    <a:ln>
                      <a:noFill/>
                    </a:ln>
                  </pic:spPr>
                </pic:pic>
              </a:graphicData>
            </a:graphic>
          </wp:anchor>
        </w:drawing>
      </w:r>
    </w:p>
    <w:p>
      <w:pPr>
        <w:pStyle w:val="24"/>
        <w:jc w:val="both"/>
        <w:rPr>
          <w:rFonts w:hint="default"/>
          <w:color w:val="auto"/>
          <w:lang w:val="en-US" w:eastAsia="zh-CN"/>
        </w:rPr>
      </w:pPr>
    </w:p>
    <w:p>
      <w:pPr>
        <w:pStyle w:val="24"/>
        <w:jc w:val="both"/>
        <w:rPr>
          <w:rFonts w:hint="default"/>
          <w:color w:val="auto"/>
          <w:lang w:val="en-US" w:eastAsia="zh-CN"/>
        </w:rPr>
      </w:pPr>
    </w:p>
    <w:p>
      <w:pPr>
        <w:pStyle w:val="24"/>
        <w:jc w:val="both"/>
        <w:rPr>
          <w:rFonts w:hint="default"/>
          <w:color w:val="auto"/>
          <w:lang w:val="en-US" w:eastAsia="zh-CN"/>
        </w:rPr>
      </w:pPr>
    </w:p>
    <w:p>
      <w:pPr>
        <w:pStyle w:val="24"/>
        <w:jc w:val="both"/>
        <w:rPr>
          <w:rFonts w:hint="default"/>
          <w:color w:val="auto"/>
          <w:lang w:val="en-US" w:eastAsia="zh-CN"/>
        </w:rPr>
      </w:pPr>
    </w:p>
    <w:p>
      <w:pPr>
        <w:pStyle w:val="24"/>
        <w:jc w:val="both"/>
        <w:rPr>
          <w:rFonts w:hint="default"/>
          <w:color w:val="auto"/>
          <w:lang w:val="en-US" w:eastAsia="zh-CN"/>
        </w:rPr>
      </w:pPr>
    </w:p>
    <w:p>
      <w:pPr>
        <w:pStyle w:val="24"/>
        <w:jc w:val="both"/>
        <w:rPr>
          <w:rFonts w:hint="default"/>
          <w:color w:val="auto"/>
          <w:lang w:val="en-US" w:eastAsia="zh-CN"/>
        </w:rPr>
      </w:pPr>
    </w:p>
    <w:p>
      <w:pPr>
        <w:keepNext w:val="0"/>
        <w:keepLines w:val="0"/>
        <w:pageBreakBefore w:val="0"/>
        <w:widowControl w:val="0"/>
        <w:kinsoku/>
        <w:wordWrap/>
        <w:overflowPunct/>
        <w:topLinePunct w:val="0"/>
        <w:autoSpaceDE/>
        <w:autoSpaceDN/>
        <w:bidi w:val="0"/>
        <w:adjustRightInd/>
        <w:snapToGrid/>
        <w:spacing w:line="48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图2-2-6  压裂井井场位置图</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eastAsia="宋体"/>
          <w:color w:val="auto"/>
          <w:lang w:val="en-US" w:eastAsia="zh-CN"/>
        </w:rPr>
      </w:pPr>
      <w:r>
        <w:rPr>
          <w:rFonts w:hint="eastAsia"/>
          <w:color w:val="auto"/>
          <w:lang w:val="en-US" w:eastAsia="zh-CN"/>
        </w:rPr>
        <w:t>二、空间位置确定</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rPr>
      </w:pPr>
      <w:r>
        <w:rPr>
          <w:rFonts w:hint="eastAsia"/>
          <w:color w:val="auto"/>
        </w:rPr>
        <w:t>设计</w:t>
      </w:r>
      <w:r>
        <w:rPr>
          <w:rFonts w:hint="eastAsia"/>
          <w:color w:val="auto"/>
          <w:lang w:val="en-US" w:eastAsia="zh-CN"/>
        </w:rPr>
        <w:t>地面</w:t>
      </w:r>
      <w:r>
        <w:rPr>
          <w:rFonts w:hint="eastAsia"/>
          <w:color w:val="auto"/>
        </w:rPr>
        <w:t>压裂井</w:t>
      </w:r>
      <w:r>
        <w:rPr>
          <w:rFonts w:hint="eastAsia"/>
          <w:color w:val="auto"/>
          <w:lang w:val="en-US" w:eastAsia="zh-CN"/>
        </w:rPr>
        <w:t>垂直长度300</w:t>
      </w:r>
      <w:r>
        <w:rPr>
          <w:rFonts w:hint="eastAsia"/>
          <w:color w:val="auto"/>
        </w:rPr>
        <w:t>m，</w:t>
      </w:r>
      <w:r>
        <w:rPr>
          <w:rFonts w:hint="eastAsia"/>
          <w:color w:val="auto"/>
          <w:lang w:val="en-US" w:eastAsia="zh-CN"/>
        </w:rPr>
        <w:t>造斜段长度590</w:t>
      </w:r>
      <w:r>
        <w:rPr>
          <w:rFonts w:hint="eastAsia"/>
          <w:color w:val="auto"/>
        </w:rPr>
        <w:t>m，</w:t>
      </w:r>
      <w:r>
        <w:rPr>
          <w:rFonts w:hint="eastAsia"/>
          <w:color w:val="auto"/>
          <w:lang w:val="en-US" w:eastAsia="zh-CN"/>
        </w:rPr>
        <w:t>水平段长度1010m，压裂段长度935m，压裂井工程量共计为</w:t>
      </w:r>
      <w:r>
        <w:rPr>
          <w:rFonts w:hint="eastAsia"/>
          <w:color w:val="auto"/>
        </w:rPr>
        <w:t>19</w:t>
      </w:r>
      <w:r>
        <w:rPr>
          <w:rFonts w:hint="eastAsia"/>
          <w:color w:val="auto"/>
          <w:lang w:val="en-US" w:eastAsia="zh-CN"/>
        </w:rPr>
        <w:t>00</w:t>
      </w:r>
      <w:r>
        <w:rPr>
          <w:rFonts w:hint="eastAsia"/>
          <w:color w:val="auto"/>
        </w:rPr>
        <w:t>m，压裂井</w:t>
      </w:r>
      <w:r>
        <w:rPr>
          <w:rFonts w:hint="eastAsia"/>
          <w:color w:val="auto"/>
          <w:lang w:val="en-US" w:eastAsia="zh-CN"/>
        </w:rPr>
        <w:t>井口标高</w:t>
      </w:r>
      <w:r>
        <w:rPr>
          <w:rFonts w:hint="eastAsia"/>
          <w:color w:val="auto"/>
        </w:rPr>
        <w:t>为</w:t>
      </w:r>
      <w:r>
        <w:rPr>
          <w:rFonts w:hint="eastAsia"/>
          <w:color w:val="auto"/>
          <w:lang w:val="en-US" w:eastAsia="zh-CN"/>
        </w:rPr>
        <w:t>+1800m，</w:t>
      </w:r>
      <w:r>
        <w:rPr>
          <w:rFonts w:hint="eastAsia"/>
          <w:color w:val="auto"/>
        </w:rPr>
        <w:t>水平段标高为</w:t>
      </w:r>
      <w:r>
        <w:rPr>
          <w:rFonts w:hint="eastAsia"/>
          <w:color w:val="auto"/>
          <w:lang w:val="en-US" w:eastAsia="zh-CN"/>
        </w:rPr>
        <w:t>+</w:t>
      </w:r>
      <w:r>
        <w:rPr>
          <w:rFonts w:hint="eastAsia"/>
          <w:color w:val="auto"/>
        </w:rPr>
        <w:t>11</w:t>
      </w:r>
      <w:r>
        <w:rPr>
          <w:rFonts w:hint="eastAsia"/>
          <w:color w:val="auto"/>
          <w:lang w:val="en-US" w:eastAsia="zh-CN"/>
        </w:rPr>
        <w:t>5</w:t>
      </w:r>
      <w:r>
        <w:rPr>
          <w:rFonts w:hint="eastAsia"/>
          <w:color w:val="auto"/>
        </w:rPr>
        <w:t>0m</w:t>
      </w:r>
      <w:r>
        <w:rPr>
          <w:rFonts w:hint="eastAsia"/>
          <w:color w:val="auto"/>
          <w:lang w:eastAsia="zh-CN"/>
        </w:rPr>
        <w:t>，</w:t>
      </w:r>
      <w:r>
        <w:rPr>
          <w:rFonts w:hint="eastAsia"/>
          <w:color w:val="auto"/>
          <w:lang w:val="en-US" w:eastAsia="zh-CN"/>
        </w:rPr>
        <w:t>垂深为650m</w:t>
      </w:r>
      <w:r>
        <w:rPr>
          <w:rFonts w:hint="eastAsia"/>
          <w:color w:val="auto"/>
        </w:rPr>
        <w:t>。压裂井轨迹示意图</w:t>
      </w:r>
      <w:r>
        <w:rPr>
          <w:rFonts w:hint="eastAsia" w:ascii="宋体" w:hAnsi="宋体" w:cs="宋体"/>
          <w:color w:val="auto"/>
          <w:sz w:val="24"/>
          <w:szCs w:val="24"/>
          <w:lang w:eastAsia="zh-CN"/>
        </w:rPr>
        <w:t>（</w:t>
      </w:r>
      <w:r>
        <w:rPr>
          <w:rFonts w:hint="eastAsia"/>
          <w:color w:val="auto"/>
          <w:lang w:val="en-US" w:eastAsia="zh-CN"/>
        </w:rPr>
        <w:t>见</w:t>
      </w:r>
      <w:r>
        <w:rPr>
          <w:rFonts w:hint="eastAsia"/>
          <w:color w:val="auto"/>
        </w:rPr>
        <w:t>图2-</w:t>
      </w:r>
      <w:r>
        <w:rPr>
          <w:rFonts w:hint="eastAsia"/>
          <w:color w:val="auto"/>
          <w:lang w:val="en-US" w:eastAsia="zh-CN"/>
        </w:rPr>
        <w:t>2-7</w:t>
      </w:r>
      <w:r>
        <w:rPr>
          <w:rFonts w:hint="eastAsia" w:ascii="宋体" w:hAnsi="宋体" w:cs="宋体"/>
          <w:color w:val="auto"/>
          <w:sz w:val="24"/>
          <w:szCs w:val="24"/>
          <w:lang w:eastAsia="zh-CN"/>
        </w:rPr>
        <w:t>）</w:t>
      </w:r>
      <w:r>
        <w:rPr>
          <w:rFonts w:hint="eastAsia"/>
          <w:color w:val="auto"/>
        </w:rPr>
        <w:t>，压裂井井口坐标及水平段各靶点坐标</w:t>
      </w:r>
      <w:r>
        <w:rPr>
          <w:rFonts w:hint="eastAsia"/>
          <w:color w:val="auto"/>
          <w:lang w:val="en-US" w:eastAsia="zh-CN"/>
        </w:rPr>
        <w:t>见</w:t>
      </w:r>
      <w:r>
        <w:rPr>
          <w:rFonts w:hint="eastAsia"/>
          <w:color w:val="auto"/>
        </w:rPr>
        <w:t>表2-</w:t>
      </w:r>
      <w:r>
        <w:rPr>
          <w:rFonts w:hint="eastAsia"/>
          <w:color w:val="auto"/>
          <w:lang w:val="en-US" w:eastAsia="zh-CN"/>
        </w:rPr>
        <w:t>2-1</w:t>
      </w:r>
      <w:r>
        <w:rPr>
          <w:rFonts w:hint="eastAsia"/>
          <w:color w:val="auto"/>
        </w:rPr>
        <w:t>。</w:t>
      </w: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color w:val="auto"/>
        </w:rPr>
      </w:pPr>
      <w:r>
        <w:rPr>
          <w:color w:val="auto"/>
        </w:rPr>
        <w:drawing>
          <wp:anchor distT="0" distB="0" distL="114300" distR="114300" simplePos="0" relativeHeight="251705344" behindDoc="0" locked="0" layoutInCell="1" allowOverlap="1">
            <wp:simplePos x="0" y="0"/>
            <wp:positionH relativeFrom="column">
              <wp:posOffset>-161925</wp:posOffset>
            </wp:positionH>
            <wp:positionV relativeFrom="paragraph">
              <wp:posOffset>43815</wp:posOffset>
            </wp:positionV>
            <wp:extent cx="6026785" cy="2646045"/>
            <wp:effectExtent l="0" t="0" r="12065" b="1905"/>
            <wp:wrapNone/>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
                    <pic:cNvPicPr>
                      <a:picLocks noChangeAspect="1"/>
                    </pic:cNvPicPr>
                  </pic:nvPicPr>
                  <pic:blipFill>
                    <a:blip r:embed="rId103"/>
                    <a:stretch>
                      <a:fillRect/>
                    </a:stretch>
                  </pic:blipFill>
                  <pic:spPr>
                    <a:xfrm>
                      <a:off x="0" y="0"/>
                      <a:ext cx="6026785" cy="2646045"/>
                    </a:xfrm>
                    <a:prstGeom prst="rect">
                      <a:avLst/>
                    </a:prstGeom>
                    <a:noFill/>
                    <a:ln>
                      <a:noFill/>
                    </a:ln>
                  </pic:spPr>
                </pic:pic>
              </a:graphicData>
            </a:graphic>
          </wp:anchor>
        </w:drawing>
      </w: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color w:val="auto"/>
        </w:rPr>
      </w:pPr>
    </w:p>
    <w:p>
      <w:pPr>
        <w:pStyle w:val="57"/>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color w:val="auto"/>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楷体_GB2312" w:hAnsi="楷体_GB2312" w:eastAsia="楷体_GB2312" w:cs="楷体_GB2312"/>
          <w:color w:val="auto"/>
          <w:kern w:val="2"/>
          <w:sz w:val="24"/>
          <w:szCs w:val="24"/>
          <w:lang w:val="en-US" w:eastAsia="zh-CN" w:bidi="ar-SA"/>
          <w14:ligatures w14:val="standardContextual"/>
        </w:rPr>
      </w:pPr>
      <w:r>
        <w:rPr>
          <w:rFonts w:hint="eastAsia" w:ascii="楷体_GB2312" w:hAnsi="楷体_GB2312" w:eastAsia="楷体_GB2312" w:cs="楷体_GB2312"/>
          <w:color w:val="auto"/>
          <w:kern w:val="2"/>
          <w:sz w:val="24"/>
          <w:szCs w:val="24"/>
          <w:lang w:val="en-US" w:eastAsia="zh-CN" w:bidi="ar-SA"/>
          <w14:ligatures w14:val="standardContextual"/>
        </w:rPr>
        <w:t>图2-2-7  压裂井轨迹示意图</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表2-</w:t>
      </w:r>
      <w:r>
        <w:rPr>
          <w:rFonts w:hint="eastAsia" w:ascii="楷体_GB2312" w:hAnsi="楷体_GB2312" w:eastAsia="楷体_GB2312" w:cs="楷体_GB2312"/>
          <w:color w:val="auto"/>
          <w:lang w:val="en-US" w:eastAsia="zh-CN"/>
        </w:rPr>
        <w:t>2-1</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地面压裂井井口及靶点关键参数</w:t>
      </w:r>
    </w:p>
    <w:tbl>
      <w:tblPr>
        <w:tblStyle w:val="2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8"/>
        <w:gridCol w:w="553"/>
        <w:gridCol w:w="947"/>
        <w:gridCol w:w="1018"/>
        <w:gridCol w:w="1044"/>
        <w:gridCol w:w="1812"/>
        <w:gridCol w:w="1753"/>
        <w:gridCol w:w="1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706" w:type="pct"/>
            <w:gridSpan w:val="2"/>
            <w:vMerge w:val="restar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靶点</w:t>
            </w:r>
          </w:p>
        </w:tc>
        <w:tc>
          <w:tcPr>
            <w:tcW w:w="510" w:type="pct"/>
            <w:vMerge w:val="restar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eastAsia="zh-CN"/>
                <w14:ligatures w14:val="standardContextual"/>
              </w:rPr>
            </w:pPr>
            <w:r>
              <w:rPr>
                <w:rFonts w:hint="eastAsia" w:ascii="楷体_GB2312" w:hAnsi="楷体_GB2312" w:eastAsia="楷体_GB2312" w:cs="楷体_GB2312"/>
                <w:color w:val="auto"/>
                <w:kern w:val="24"/>
                <w:sz w:val="21"/>
                <w:szCs w:val="21"/>
                <w14:ligatures w14:val="standardContextual"/>
              </w:rPr>
              <w:t>煤层倾角</w:t>
            </w:r>
            <w:r>
              <w:rPr>
                <w:rFonts w:hint="eastAsia" w:ascii="楷体_GB2312" w:hAnsi="楷体_GB2312" w:eastAsia="楷体_GB2312" w:cs="楷体_GB2312"/>
                <w:color w:val="auto"/>
                <w:kern w:val="24"/>
                <w:sz w:val="21"/>
                <w:szCs w:val="21"/>
                <w:lang w:eastAsia="zh-CN"/>
                <w14:ligatures w14:val="standardContextual"/>
              </w:rPr>
              <w:t>（</w:t>
            </w: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lang w:eastAsia="zh-CN"/>
                <w14:ligatures w14:val="standardContextual"/>
              </w:rPr>
              <w:t>）</w:t>
            </w:r>
          </w:p>
        </w:tc>
        <w:tc>
          <w:tcPr>
            <w:tcW w:w="548" w:type="pct"/>
            <w:vMerge w:val="restar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煤层</w:t>
            </w:r>
          </w:p>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厚度（m）</w:t>
            </w:r>
          </w:p>
        </w:tc>
        <w:tc>
          <w:tcPr>
            <w:tcW w:w="562" w:type="pct"/>
            <w:vMerge w:val="restar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压裂</w:t>
            </w:r>
          </w:p>
          <w:p>
            <w:pPr>
              <w:spacing w:line="240" w:lineRule="auto"/>
              <w:ind w:firstLine="0" w:firstLineChars="0"/>
              <w:jc w:val="center"/>
              <w:rPr>
                <w:rFonts w:hint="eastAsia" w:ascii="楷体_GB2312" w:hAnsi="楷体_GB2312" w:eastAsia="楷体_GB2312" w:cs="楷体_GB2312"/>
                <w:color w:val="auto"/>
                <w:kern w:val="24"/>
                <w:sz w:val="21"/>
                <w:szCs w:val="21"/>
                <w:lang w:eastAsia="zh-CN"/>
                <w14:ligatures w14:val="standardContextual"/>
              </w:rPr>
            </w:pPr>
            <w:r>
              <w:rPr>
                <w:rFonts w:hint="eastAsia" w:ascii="楷体_GB2312" w:hAnsi="楷体_GB2312" w:eastAsia="楷体_GB2312" w:cs="楷体_GB2312"/>
                <w:color w:val="auto"/>
                <w:kern w:val="24"/>
                <w:sz w:val="21"/>
                <w:szCs w:val="21"/>
                <w14:ligatures w14:val="standardContextual"/>
              </w:rPr>
              <w:t>层位</w:t>
            </w:r>
            <w:r>
              <w:rPr>
                <w:rFonts w:hint="eastAsia" w:ascii="楷体_GB2312" w:hAnsi="楷体_GB2312" w:eastAsia="楷体_GB2312" w:cs="楷体_GB2312"/>
                <w:color w:val="auto"/>
                <w:kern w:val="24"/>
                <w:sz w:val="21"/>
                <w:szCs w:val="21"/>
                <w:lang w:eastAsia="zh-CN"/>
                <w14:ligatures w14:val="standardContextual"/>
              </w:rPr>
              <w:t>（</w:t>
            </w:r>
            <w:r>
              <w:rPr>
                <w:rFonts w:hint="eastAsia" w:ascii="楷体_GB2312" w:hAnsi="楷体_GB2312" w:eastAsia="楷体_GB2312" w:cs="楷体_GB2312"/>
                <w:color w:val="auto"/>
                <w:kern w:val="24"/>
                <w:sz w:val="21"/>
                <w:szCs w:val="21"/>
                <w:lang w:val="en-US" w:eastAsia="zh-CN"/>
                <w14:ligatures w14:val="standardContextual"/>
              </w:rPr>
              <w:t>m</w:t>
            </w:r>
            <w:r>
              <w:rPr>
                <w:rFonts w:hint="eastAsia" w:ascii="楷体_GB2312" w:hAnsi="楷体_GB2312" w:eastAsia="楷体_GB2312" w:cs="楷体_GB2312"/>
                <w:color w:val="auto"/>
                <w:kern w:val="24"/>
                <w:sz w:val="21"/>
                <w:szCs w:val="21"/>
                <w:lang w:eastAsia="zh-CN"/>
                <w14:ligatures w14:val="standardContextual"/>
              </w:rPr>
              <w:t>）</w:t>
            </w:r>
          </w:p>
        </w:tc>
        <w:tc>
          <w:tcPr>
            <w:tcW w:w="2672" w:type="pct"/>
            <w:gridSpan w:val="3"/>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06" w:type="pct"/>
            <w:gridSpan w:val="2"/>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510"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54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562"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X</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Y</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井口</w:t>
            </w: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1</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w:t>
            </w:r>
          </w:p>
        </w:tc>
        <w:tc>
          <w:tcPr>
            <w:tcW w:w="56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40574</w:t>
            </w:r>
            <w:r>
              <w:rPr>
                <w:rFonts w:hint="eastAsia" w:ascii="楷体_GB2312" w:hAnsi="楷体_GB2312" w:eastAsia="楷体_GB2312" w:cs="楷体_GB2312"/>
                <w:color w:val="auto"/>
                <w:kern w:val="24"/>
                <w:sz w:val="21"/>
                <w:szCs w:val="21"/>
                <w:lang w:val="en-US" w:eastAsia="zh-CN"/>
                <w14:ligatures w14:val="standardContextual"/>
              </w:rPr>
              <w:t>46.534</w:t>
            </w:r>
          </w:p>
        </w:tc>
        <w:tc>
          <w:tcPr>
            <w:tcW w:w="944"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w:t>
            </w:r>
            <w:r>
              <w:rPr>
                <w:rFonts w:hint="eastAsia" w:ascii="楷体_GB2312" w:hAnsi="楷体_GB2312" w:eastAsia="楷体_GB2312" w:cs="楷体_GB2312"/>
                <w:color w:val="auto"/>
                <w:kern w:val="24"/>
                <w:sz w:val="21"/>
                <w:szCs w:val="21"/>
                <w:lang w:val="en-US" w:eastAsia="zh-CN"/>
                <w14:ligatures w14:val="standardContextual"/>
              </w:rPr>
              <w:t>812.031</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1800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restar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水</w:t>
            </w:r>
          </w:p>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平</w:t>
            </w:r>
          </w:p>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段</w:t>
            </w: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2</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51</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10</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4057691.06</w:t>
            </w:r>
            <w:r>
              <w:rPr>
                <w:rFonts w:hint="eastAsia" w:ascii="楷体_GB2312" w:hAnsi="楷体_GB2312" w:eastAsia="楷体_GB2312" w:cs="楷体_GB2312"/>
                <w:color w:val="auto"/>
                <w:kern w:val="24"/>
                <w:sz w:val="21"/>
                <w:szCs w:val="21"/>
                <w:lang w:val="en-US" w:eastAsia="zh-CN"/>
                <w14:ligatures w14:val="standardContextual"/>
              </w:rPr>
              <w:t>2</w:t>
            </w:r>
          </w:p>
        </w:tc>
        <w:tc>
          <w:tcPr>
            <w:tcW w:w="944"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35504502.36</w:t>
            </w:r>
            <w:r>
              <w:rPr>
                <w:rFonts w:hint="eastAsia" w:ascii="楷体_GB2312" w:hAnsi="楷体_GB2312" w:eastAsia="楷体_GB2312" w:cs="楷体_GB2312"/>
                <w:color w:val="auto"/>
                <w:kern w:val="24"/>
                <w:sz w:val="21"/>
                <w:szCs w:val="21"/>
                <w:lang w:val="en-US" w:eastAsia="zh-CN"/>
                <w14:ligatures w14:val="standardContextual"/>
              </w:rPr>
              <w:t>2</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3</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61</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27</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4057754.13</w:t>
            </w:r>
            <w:r>
              <w:rPr>
                <w:rFonts w:hint="eastAsia" w:ascii="楷体_GB2312" w:hAnsi="楷体_GB2312" w:eastAsia="楷体_GB2312" w:cs="楷体_GB2312"/>
                <w:color w:val="auto"/>
                <w:kern w:val="24"/>
                <w:sz w:val="21"/>
                <w:szCs w:val="21"/>
                <w:lang w:val="en-US" w:eastAsia="zh-CN"/>
                <w14:ligatures w14:val="standardContextual"/>
              </w:rPr>
              <w:t>3</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35504384.32</w:t>
            </w:r>
            <w:r>
              <w:rPr>
                <w:rFonts w:hint="eastAsia" w:ascii="楷体_GB2312" w:hAnsi="楷体_GB2312" w:eastAsia="楷体_GB2312" w:cs="楷体_GB2312"/>
                <w:color w:val="auto"/>
                <w:kern w:val="24"/>
                <w:sz w:val="21"/>
                <w:szCs w:val="21"/>
                <w:lang w:val="en-US" w:eastAsia="zh-CN"/>
                <w14:ligatures w14:val="standardContextual"/>
              </w:rPr>
              <w:t>4</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4</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67</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38</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4057801.55</w:t>
            </w:r>
            <w:r>
              <w:rPr>
                <w:rFonts w:hint="eastAsia" w:ascii="楷体_GB2312" w:hAnsi="楷体_GB2312" w:eastAsia="楷体_GB2312" w:cs="楷体_GB2312"/>
                <w:color w:val="auto"/>
                <w:kern w:val="24"/>
                <w:sz w:val="21"/>
                <w:szCs w:val="21"/>
                <w:lang w:val="en-US" w:eastAsia="zh-CN"/>
                <w14:ligatures w14:val="standardContextual"/>
              </w:rPr>
              <w:t>5</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35504275.78</w:t>
            </w:r>
            <w:r>
              <w:rPr>
                <w:rFonts w:hint="eastAsia" w:ascii="楷体_GB2312" w:hAnsi="楷体_GB2312" w:eastAsia="楷体_GB2312" w:cs="楷体_GB2312"/>
                <w:color w:val="auto"/>
                <w:kern w:val="24"/>
                <w:sz w:val="21"/>
                <w:szCs w:val="21"/>
                <w:lang w:val="en-US" w:eastAsia="zh-CN"/>
                <w14:ligatures w14:val="standardContextual"/>
              </w:rPr>
              <w:t>6</w:t>
            </w:r>
          </w:p>
        </w:tc>
        <w:tc>
          <w:tcPr>
            <w:tcW w:w="75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5</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69</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42</w:t>
            </w:r>
          </w:p>
        </w:tc>
        <w:tc>
          <w:tcPr>
            <w:tcW w:w="56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4057852.3</w:t>
            </w:r>
            <w:r>
              <w:rPr>
                <w:rFonts w:hint="eastAsia" w:ascii="楷体_GB2312" w:hAnsi="楷体_GB2312" w:eastAsia="楷体_GB2312" w:cs="楷体_GB2312"/>
                <w:color w:val="auto"/>
                <w:kern w:val="24"/>
                <w:sz w:val="21"/>
                <w:szCs w:val="21"/>
                <w:lang w:val="en-US" w:eastAsia="zh-CN"/>
                <w14:ligatures w14:val="standardContextual"/>
              </w:rPr>
              <w:t>6</w:t>
            </w:r>
            <w:r>
              <w:rPr>
                <w:rFonts w:hint="eastAsia" w:ascii="楷体_GB2312" w:hAnsi="楷体_GB2312" w:eastAsia="楷体_GB2312" w:cs="楷体_GB2312"/>
                <w:color w:val="auto"/>
                <w:kern w:val="24"/>
                <w:sz w:val="21"/>
                <w:szCs w:val="21"/>
                <w14:ligatures w14:val="standardContextual"/>
              </w:rPr>
              <w:t>6</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35504164.60</w:t>
            </w:r>
            <w:r>
              <w:rPr>
                <w:rFonts w:hint="eastAsia" w:ascii="楷体_GB2312" w:hAnsi="楷体_GB2312" w:eastAsia="楷体_GB2312" w:cs="楷体_GB2312"/>
                <w:color w:val="auto"/>
                <w:kern w:val="24"/>
                <w:sz w:val="21"/>
                <w:szCs w:val="21"/>
                <w:lang w:val="en-US" w:eastAsia="zh-CN"/>
                <w14:ligatures w14:val="standardContextual"/>
              </w:rPr>
              <w:t>1</w:t>
            </w:r>
          </w:p>
        </w:tc>
        <w:tc>
          <w:tcPr>
            <w:tcW w:w="75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6</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75</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41</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4057875.26</w:t>
            </w:r>
            <w:r>
              <w:rPr>
                <w:rFonts w:hint="eastAsia" w:ascii="楷体_GB2312" w:hAnsi="楷体_GB2312" w:eastAsia="楷体_GB2312" w:cs="楷体_GB2312"/>
                <w:color w:val="auto"/>
                <w:kern w:val="24"/>
                <w:sz w:val="21"/>
                <w:szCs w:val="21"/>
                <w:lang w:val="en-US" w:eastAsia="zh-CN"/>
                <w14:ligatures w14:val="standardContextual"/>
              </w:rPr>
              <w:t>6</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35504121.68</w:t>
            </w:r>
            <w:r>
              <w:rPr>
                <w:rFonts w:hint="eastAsia" w:ascii="楷体_GB2312" w:hAnsi="楷体_GB2312" w:eastAsia="楷体_GB2312" w:cs="楷体_GB2312"/>
                <w:color w:val="auto"/>
                <w:kern w:val="24"/>
                <w:sz w:val="21"/>
                <w:szCs w:val="21"/>
                <w:lang w:val="en-US" w:eastAsia="zh-CN"/>
                <w14:ligatures w14:val="standardContextual"/>
              </w:rPr>
              <w:t>0</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7</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80</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40</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4057895.53</w:t>
            </w:r>
            <w:r>
              <w:rPr>
                <w:rFonts w:hint="eastAsia" w:ascii="楷体_GB2312" w:hAnsi="楷体_GB2312" w:eastAsia="楷体_GB2312" w:cs="楷体_GB2312"/>
                <w:color w:val="auto"/>
                <w:kern w:val="24"/>
                <w:sz w:val="21"/>
                <w:szCs w:val="21"/>
                <w:lang w:val="en-US" w:eastAsia="zh-CN"/>
                <w14:ligatures w14:val="standardContextual"/>
              </w:rPr>
              <w:t>9</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35504084.07</w:t>
            </w:r>
            <w:r>
              <w:rPr>
                <w:rFonts w:hint="eastAsia" w:ascii="楷体_GB2312" w:hAnsi="楷体_GB2312" w:eastAsia="楷体_GB2312" w:cs="楷体_GB2312"/>
                <w:color w:val="auto"/>
                <w:kern w:val="24"/>
                <w:sz w:val="21"/>
                <w:szCs w:val="21"/>
                <w:lang w:val="en-US" w:eastAsia="zh-CN"/>
                <w14:ligatures w14:val="standardContextual"/>
              </w:rPr>
              <w:t>2</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8</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78</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39</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4057917.92</w:t>
            </w:r>
            <w:r>
              <w:rPr>
                <w:rFonts w:hint="eastAsia" w:ascii="楷体_GB2312" w:hAnsi="楷体_GB2312" w:eastAsia="楷体_GB2312" w:cs="楷体_GB2312"/>
                <w:color w:val="auto"/>
                <w:kern w:val="24"/>
                <w:sz w:val="21"/>
                <w:szCs w:val="21"/>
                <w:lang w:val="en-US" w:eastAsia="zh-CN"/>
                <w14:ligatures w14:val="standardContextual"/>
              </w:rPr>
              <w:t>4</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35504040.85</w:t>
            </w:r>
            <w:r>
              <w:rPr>
                <w:rFonts w:hint="eastAsia" w:ascii="楷体_GB2312" w:hAnsi="楷体_GB2312" w:eastAsia="楷体_GB2312" w:cs="楷体_GB2312"/>
                <w:color w:val="auto"/>
                <w:kern w:val="24"/>
                <w:sz w:val="21"/>
                <w:szCs w:val="21"/>
                <w:lang w:val="en-US" w:eastAsia="zh-CN"/>
                <w14:ligatures w14:val="standardContextual"/>
              </w:rPr>
              <w:t>2</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9</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69</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33</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4057993.39</w:t>
            </w:r>
            <w:r>
              <w:rPr>
                <w:rFonts w:hint="eastAsia" w:ascii="楷体_GB2312" w:hAnsi="楷体_GB2312" w:eastAsia="楷体_GB2312" w:cs="楷体_GB2312"/>
                <w:color w:val="auto"/>
                <w:kern w:val="24"/>
                <w:sz w:val="21"/>
                <w:szCs w:val="21"/>
                <w:lang w:val="en-US" w:eastAsia="zh-CN"/>
                <w14:ligatures w14:val="standardContextual"/>
              </w:rPr>
              <w:t>3</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35503919.75</w:t>
            </w:r>
            <w:r>
              <w:rPr>
                <w:rFonts w:hint="eastAsia" w:ascii="楷体_GB2312" w:hAnsi="楷体_GB2312" w:eastAsia="楷体_GB2312" w:cs="楷体_GB2312"/>
                <w:color w:val="auto"/>
                <w:kern w:val="24"/>
                <w:sz w:val="21"/>
                <w:szCs w:val="21"/>
                <w:lang w:val="en-US" w:eastAsia="zh-CN"/>
                <w14:ligatures w14:val="standardContextual"/>
              </w:rPr>
              <w:t>9</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10</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64</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30</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4058051.86</w:t>
            </w:r>
            <w:r>
              <w:rPr>
                <w:rFonts w:hint="eastAsia" w:ascii="楷体_GB2312" w:hAnsi="楷体_GB2312" w:eastAsia="楷体_GB2312" w:cs="楷体_GB2312"/>
                <w:color w:val="auto"/>
                <w:kern w:val="24"/>
                <w:sz w:val="21"/>
                <w:szCs w:val="21"/>
                <w:lang w:val="en-US" w:eastAsia="zh-CN"/>
                <w14:ligatures w14:val="standardContextual"/>
              </w:rPr>
              <w:t>7</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35503802.64</w:t>
            </w:r>
            <w:r>
              <w:rPr>
                <w:rFonts w:hint="eastAsia" w:ascii="楷体_GB2312" w:hAnsi="楷体_GB2312" w:eastAsia="楷体_GB2312" w:cs="楷体_GB2312"/>
                <w:color w:val="auto"/>
                <w:kern w:val="24"/>
                <w:sz w:val="21"/>
                <w:szCs w:val="21"/>
                <w:lang w:val="en-US" w:eastAsia="zh-CN"/>
                <w14:ligatures w14:val="standardContextual"/>
              </w:rPr>
              <w:t>4</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11</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66</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38</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4058072.43</w:t>
            </w:r>
            <w:r>
              <w:rPr>
                <w:rFonts w:hint="eastAsia" w:ascii="楷体_GB2312" w:hAnsi="楷体_GB2312" w:eastAsia="楷体_GB2312" w:cs="楷体_GB2312"/>
                <w:color w:val="auto"/>
                <w:kern w:val="24"/>
                <w:sz w:val="21"/>
                <w:szCs w:val="21"/>
                <w:lang w:val="en-US" w:eastAsia="zh-CN"/>
                <w14:ligatures w14:val="standardContextual"/>
              </w:rPr>
              <w:t>1</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35503745.37</w:t>
            </w:r>
            <w:r>
              <w:rPr>
                <w:rFonts w:hint="eastAsia" w:ascii="楷体_GB2312" w:hAnsi="楷体_GB2312" w:eastAsia="楷体_GB2312" w:cs="楷体_GB2312"/>
                <w:color w:val="auto"/>
                <w:kern w:val="24"/>
                <w:sz w:val="21"/>
                <w:szCs w:val="21"/>
                <w:lang w:val="en-US" w:eastAsia="zh-CN"/>
                <w14:ligatures w14:val="standardContextual"/>
              </w:rPr>
              <w:t>3</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12</w:t>
            </w:r>
          </w:p>
        </w:tc>
        <w:tc>
          <w:tcPr>
            <w:tcW w:w="510"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64</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14:ligatures w14:val="standardContextual"/>
              </w:rPr>
              <w:t>26</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55</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4058093.66</w:t>
            </w:r>
            <w:r>
              <w:rPr>
                <w:rFonts w:hint="eastAsia" w:ascii="楷体_GB2312" w:hAnsi="楷体_GB2312" w:eastAsia="楷体_GB2312" w:cs="楷体_GB2312"/>
                <w:color w:val="auto"/>
                <w:kern w:val="24"/>
                <w:sz w:val="21"/>
                <w:szCs w:val="21"/>
                <w:lang w:val="en-US" w:eastAsia="zh-CN"/>
                <w14:ligatures w14:val="standardContextual"/>
              </w:rPr>
              <w:t>0</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35503697.49</w:t>
            </w:r>
            <w:r>
              <w:rPr>
                <w:rFonts w:hint="eastAsia" w:ascii="楷体_GB2312" w:hAnsi="楷体_GB2312" w:eastAsia="楷体_GB2312" w:cs="楷体_GB2312"/>
                <w:color w:val="auto"/>
                <w:kern w:val="24"/>
                <w:sz w:val="21"/>
                <w:szCs w:val="21"/>
                <w:lang w:val="en-US" w:eastAsia="zh-CN"/>
                <w14:ligatures w14:val="standardContextual"/>
              </w:rPr>
              <w:t>2</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08" w:type="pct"/>
            <w:vMerge w:val="continue"/>
            <w:vAlign w:val="center"/>
          </w:tcPr>
          <w:p>
            <w:pPr>
              <w:spacing w:line="240" w:lineRule="auto"/>
              <w:ind w:firstLine="0" w:firstLineChars="0"/>
              <w:jc w:val="center"/>
              <w:rPr>
                <w:rFonts w:hint="eastAsia" w:ascii="楷体_GB2312" w:hAnsi="楷体_GB2312" w:eastAsia="楷体_GB2312" w:cs="楷体_GB2312"/>
                <w:color w:val="auto"/>
                <w:kern w:val="24"/>
                <w:sz w:val="21"/>
                <w:szCs w:val="21"/>
                <w14:ligatures w14:val="standardContextual"/>
              </w:rPr>
            </w:pPr>
          </w:p>
        </w:tc>
        <w:tc>
          <w:tcPr>
            <w:tcW w:w="297"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13</w:t>
            </w:r>
          </w:p>
        </w:tc>
        <w:tc>
          <w:tcPr>
            <w:tcW w:w="510"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57</w:t>
            </w:r>
          </w:p>
        </w:tc>
        <w:tc>
          <w:tcPr>
            <w:tcW w:w="548"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25</w:t>
            </w:r>
          </w:p>
        </w:tc>
        <w:tc>
          <w:tcPr>
            <w:tcW w:w="562" w:type="pct"/>
            <w:vAlign w:val="center"/>
          </w:tcPr>
          <w:p>
            <w:pPr>
              <w:spacing w:line="240" w:lineRule="auto"/>
              <w:ind w:firstLine="0" w:firstLineChars="0"/>
              <w:jc w:val="center"/>
              <w:rPr>
                <w:rFonts w:hint="default"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42</w:t>
            </w:r>
          </w:p>
        </w:tc>
        <w:tc>
          <w:tcPr>
            <w:tcW w:w="976"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4058104.93</w:t>
            </w:r>
            <w:r>
              <w:rPr>
                <w:rFonts w:hint="eastAsia" w:ascii="楷体_GB2312" w:hAnsi="楷体_GB2312" w:eastAsia="楷体_GB2312" w:cs="楷体_GB2312"/>
                <w:color w:val="auto"/>
                <w:kern w:val="24"/>
                <w:sz w:val="21"/>
                <w:szCs w:val="21"/>
                <w:lang w:val="en-US" w:eastAsia="zh-CN"/>
                <w14:ligatures w14:val="standardContextual"/>
              </w:rPr>
              <w:t>6</w:t>
            </w:r>
          </w:p>
        </w:tc>
        <w:tc>
          <w:tcPr>
            <w:tcW w:w="944"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14:ligatures w14:val="standardContextual"/>
              </w:rPr>
              <w:t>35503668.54</w:t>
            </w:r>
            <w:r>
              <w:rPr>
                <w:rFonts w:hint="eastAsia" w:ascii="楷体_GB2312" w:hAnsi="楷体_GB2312" w:eastAsia="楷体_GB2312" w:cs="楷体_GB2312"/>
                <w:color w:val="auto"/>
                <w:kern w:val="24"/>
                <w:sz w:val="21"/>
                <w:szCs w:val="21"/>
                <w:lang w:val="en-US" w:eastAsia="zh-CN"/>
                <w14:ligatures w14:val="standardContextual"/>
              </w:rPr>
              <w:t>6</w:t>
            </w:r>
          </w:p>
        </w:tc>
        <w:tc>
          <w:tcPr>
            <w:tcW w:w="752" w:type="pct"/>
            <w:vAlign w:val="center"/>
          </w:tcPr>
          <w:p>
            <w:pPr>
              <w:spacing w:line="240" w:lineRule="auto"/>
              <w:ind w:firstLine="0" w:firstLineChars="0"/>
              <w:jc w:val="center"/>
              <w:rPr>
                <w:rFonts w:hint="eastAsia" w:ascii="楷体_GB2312" w:hAnsi="楷体_GB2312" w:eastAsia="楷体_GB2312" w:cs="楷体_GB2312"/>
                <w:color w:val="auto"/>
                <w:kern w:val="24"/>
                <w:sz w:val="21"/>
                <w:szCs w:val="21"/>
                <w:lang w:val="en-US" w:eastAsia="zh-CN"/>
                <w14:ligatures w14:val="standardContextual"/>
              </w:rPr>
            </w:pPr>
            <w:r>
              <w:rPr>
                <w:rFonts w:hint="eastAsia" w:ascii="楷体_GB2312" w:hAnsi="楷体_GB2312" w:eastAsia="楷体_GB2312" w:cs="楷体_GB2312"/>
                <w:color w:val="auto"/>
                <w:kern w:val="24"/>
                <w:sz w:val="21"/>
                <w:szCs w:val="21"/>
                <w:lang w:val="en-US" w:eastAsia="zh-CN"/>
                <w14:ligatures w14:val="standardContextual"/>
              </w:rPr>
              <w:t>+</w:t>
            </w:r>
            <w:r>
              <w:rPr>
                <w:rFonts w:hint="eastAsia" w:ascii="楷体_GB2312" w:hAnsi="楷体_GB2312" w:eastAsia="楷体_GB2312" w:cs="楷体_GB2312"/>
                <w:color w:val="auto"/>
                <w:kern w:val="24"/>
                <w:sz w:val="21"/>
                <w:szCs w:val="21"/>
                <w14:ligatures w14:val="standardContextual"/>
              </w:rPr>
              <w:t>11</w:t>
            </w:r>
            <w:r>
              <w:rPr>
                <w:rFonts w:hint="eastAsia" w:ascii="楷体_GB2312" w:hAnsi="楷体_GB2312" w:eastAsia="楷体_GB2312" w:cs="楷体_GB2312"/>
                <w:color w:val="auto"/>
                <w:kern w:val="24"/>
                <w:sz w:val="21"/>
                <w:szCs w:val="21"/>
                <w:lang w:val="en-US" w:eastAsia="zh-CN"/>
                <w14:ligatures w14:val="standardContextual"/>
              </w:rPr>
              <w:t>5</w:t>
            </w:r>
            <w:r>
              <w:rPr>
                <w:rFonts w:hint="eastAsia" w:ascii="楷体_GB2312" w:hAnsi="楷体_GB2312" w:eastAsia="楷体_GB2312" w:cs="楷体_GB2312"/>
                <w:color w:val="auto"/>
                <w:kern w:val="24"/>
                <w:sz w:val="21"/>
                <w:szCs w:val="21"/>
                <w14:ligatures w14:val="standardContextual"/>
              </w:rPr>
              <w:t>0</w:t>
            </w:r>
            <w:r>
              <w:rPr>
                <w:rFonts w:hint="eastAsia" w:ascii="楷体_GB2312" w:hAnsi="楷体_GB2312" w:eastAsia="楷体_GB2312" w:cs="楷体_GB2312"/>
                <w:color w:val="auto"/>
                <w:kern w:val="24"/>
                <w:sz w:val="21"/>
                <w:szCs w:val="21"/>
                <w:lang w:val="en-US" w:eastAsia="zh-CN"/>
                <w14:ligatures w14:val="standardContextual"/>
              </w:rPr>
              <w:t>.000</w:t>
            </w:r>
          </w:p>
        </w:tc>
      </w:tr>
    </w:tbl>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16" w:name="_Toc1931"/>
      <w:bookmarkStart w:id="117" w:name="_Toc153047296"/>
      <w:bookmarkStart w:id="118" w:name="_Toc1848"/>
      <w:r>
        <w:rPr>
          <w:rFonts w:hint="eastAsia" w:ascii="黑体" w:hAnsi="黑体" w:eastAsia="黑体" w:cs="黑体"/>
          <w:b/>
          <w:bCs/>
          <w:color w:val="auto"/>
          <w:sz w:val="28"/>
          <w:szCs w:val="28"/>
          <w:lang w:val="en-US" w:eastAsia="zh-CN"/>
        </w:rPr>
        <w:t>第三节  压裂</w:t>
      </w:r>
      <w:bookmarkEnd w:id="116"/>
      <w:bookmarkEnd w:id="117"/>
      <w:r>
        <w:rPr>
          <w:rFonts w:hint="eastAsia" w:ascii="黑体" w:hAnsi="黑体" w:eastAsia="黑体" w:cs="黑体"/>
          <w:b/>
          <w:bCs/>
          <w:color w:val="auto"/>
          <w:sz w:val="28"/>
          <w:szCs w:val="28"/>
          <w:lang w:val="en-US" w:eastAsia="zh-CN"/>
        </w:rPr>
        <w:t>段数</w:t>
      </w:r>
      <w:bookmarkEnd w:id="118"/>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heme="minorEastAsia" w:hAnsiTheme="minorEastAsia" w:eastAsiaTheme="minorEastAsia" w:cstheme="minorEastAsia"/>
          <w:b/>
          <w:bCs/>
          <w:color w:val="auto"/>
          <w:lang w:val="en-US" w:eastAsia="zh-CN"/>
        </w:rPr>
      </w:pPr>
      <w:bookmarkStart w:id="119" w:name="_Toc14202"/>
      <w:bookmarkStart w:id="120" w:name="_Toc200569872"/>
      <w:bookmarkStart w:id="121" w:name="_Toc4136"/>
      <w:bookmarkStart w:id="122" w:name="_Toc153047317"/>
      <w:r>
        <w:rPr>
          <w:rFonts w:hint="eastAsia" w:asciiTheme="minorEastAsia" w:hAnsiTheme="minorEastAsia" w:eastAsiaTheme="minorEastAsia" w:cstheme="minorEastAsia"/>
          <w:b/>
          <w:bCs/>
          <w:color w:val="auto"/>
          <w:lang w:val="en-US" w:eastAsia="zh-CN"/>
        </w:rPr>
        <w:t>一、</w:t>
      </w:r>
      <w:bookmarkEnd w:id="119"/>
      <w:bookmarkEnd w:id="120"/>
      <w:r>
        <w:rPr>
          <w:rFonts w:hint="eastAsia" w:asciiTheme="minorEastAsia" w:hAnsiTheme="minorEastAsia" w:eastAsiaTheme="minorEastAsia" w:cstheme="minorEastAsia"/>
          <w:b/>
          <w:bCs/>
          <w:color w:val="auto"/>
          <w:lang w:val="en-US" w:eastAsia="zh-CN"/>
        </w:rPr>
        <w:t>压裂段数</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lang w:val="en-US" w:eastAsia="zh-CN"/>
        </w:rPr>
      </w:pPr>
      <w:bookmarkStart w:id="123" w:name="_Toc15046"/>
      <w:r>
        <w:rPr>
          <w:rFonts w:hint="eastAsia"/>
          <w:color w:val="auto"/>
        </w:rPr>
        <w:t>设计</w:t>
      </w:r>
      <w:r>
        <w:rPr>
          <w:rFonts w:hint="eastAsia"/>
          <w:color w:val="auto"/>
          <w:lang w:val="en-US" w:eastAsia="zh-CN"/>
        </w:rPr>
        <w:t>地面</w:t>
      </w:r>
      <w:r>
        <w:rPr>
          <w:rFonts w:hint="eastAsia"/>
          <w:color w:val="auto"/>
        </w:rPr>
        <w:t>压裂井</w:t>
      </w:r>
      <w:r>
        <w:rPr>
          <w:rFonts w:hint="eastAsia"/>
          <w:color w:val="auto"/>
          <w:lang w:val="en-US" w:eastAsia="zh-CN"/>
        </w:rPr>
        <w:t>垂直长度300</w:t>
      </w:r>
      <w:r>
        <w:rPr>
          <w:rFonts w:hint="eastAsia"/>
          <w:color w:val="auto"/>
        </w:rPr>
        <w:t>m，</w:t>
      </w:r>
      <w:r>
        <w:rPr>
          <w:rFonts w:hint="eastAsia"/>
          <w:color w:val="auto"/>
          <w:lang w:val="en-US" w:eastAsia="zh-CN"/>
        </w:rPr>
        <w:t>造斜段长度590</w:t>
      </w:r>
      <w:r>
        <w:rPr>
          <w:rFonts w:hint="eastAsia"/>
          <w:color w:val="auto"/>
        </w:rPr>
        <w:t>m，</w:t>
      </w:r>
      <w:r>
        <w:rPr>
          <w:rFonts w:hint="eastAsia"/>
          <w:color w:val="auto"/>
          <w:lang w:val="en-US" w:eastAsia="zh-CN"/>
        </w:rPr>
        <w:t>压裂段长度935m，</w:t>
      </w:r>
      <w:r>
        <w:rPr>
          <w:rFonts w:hint="eastAsia" w:asciiTheme="minorEastAsia" w:hAnsiTheme="minorEastAsia" w:eastAsiaTheme="minorEastAsia" w:cstheme="minorEastAsia"/>
          <w:color w:val="auto"/>
        </w:rPr>
        <w:t>分11段</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lang w:val="zh-CN" w:eastAsia="zh-CN"/>
        </w:rPr>
        <w:t>分段射孔及位置见表</w:t>
      </w:r>
      <w:r>
        <w:rPr>
          <w:rFonts w:hint="eastAsia" w:asciiTheme="minorEastAsia" w:hAnsiTheme="minorEastAsia" w:eastAsiaTheme="minorEastAsia" w:cstheme="minorEastAsia"/>
          <w:color w:val="auto"/>
          <w:lang w:val="en-US" w:eastAsia="zh-CN"/>
        </w:rPr>
        <w:t>2-3-1，压裂井布置平面布置</w:t>
      </w:r>
      <w:r>
        <w:rPr>
          <w:rFonts w:hint="eastAsia" w:ascii="宋体" w:hAnsi="宋体" w:cs="宋体"/>
          <w:color w:val="auto"/>
          <w:sz w:val="24"/>
          <w:szCs w:val="24"/>
          <w:lang w:val="en-US" w:eastAsia="zh-CN"/>
        </w:rPr>
        <w:t>见</w:t>
      </w:r>
      <w:r>
        <w:rPr>
          <w:rFonts w:hint="eastAsia" w:asciiTheme="minorEastAsia" w:hAnsiTheme="minorEastAsia" w:eastAsiaTheme="minorEastAsia" w:cstheme="minorEastAsia"/>
          <w:color w:val="auto"/>
          <w:lang w:val="en-US" w:eastAsia="zh-CN"/>
        </w:rPr>
        <w:t>图2-3-1，Ⅰ-Ⅰ剖面</w:t>
      </w:r>
      <w:r>
        <w:rPr>
          <w:rFonts w:hint="eastAsia" w:ascii="宋体" w:hAnsi="宋体" w:cs="宋体"/>
          <w:color w:val="auto"/>
          <w:sz w:val="24"/>
          <w:szCs w:val="24"/>
          <w:lang w:val="en-US" w:eastAsia="zh-CN"/>
        </w:rPr>
        <w:t>见</w:t>
      </w:r>
      <w:r>
        <w:rPr>
          <w:rFonts w:hint="eastAsia" w:asciiTheme="minorEastAsia" w:hAnsiTheme="minorEastAsia" w:eastAsiaTheme="minorEastAsia" w:cstheme="minorEastAsia"/>
          <w:color w:val="auto"/>
          <w:lang w:val="en-US" w:eastAsia="zh-CN"/>
        </w:rPr>
        <w:t>图2-3-2，+1150m标高水平切面</w:t>
      </w:r>
      <w:r>
        <w:rPr>
          <w:rFonts w:hint="eastAsia" w:ascii="宋体" w:hAnsi="宋体" w:cs="宋体"/>
          <w:color w:val="auto"/>
          <w:sz w:val="24"/>
          <w:szCs w:val="24"/>
          <w:lang w:val="en-US" w:eastAsia="zh-CN"/>
        </w:rPr>
        <w:t>见</w:t>
      </w:r>
      <w:r>
        <w:rPr>
          <w:rFonts w:hint="eastAsia" w:asciiTheme="minorEastAsia" w:hAnsiTheme="minorEastAsia" w:eastAsiaTheme="minorEastAsia" w:cstheme="minorEastAsia"/>
          <w:color w:val="auto"/>
          <w:lang w:val="en-US" w:eastAsia="zh-CN"/>
        </w:rPr>
        <w:t>图2-3-3</w:t>
      </w:r>
      <w:r>
        <w:rPr>
          <w:rFonts w:hint="eastAsia" w:cs="宋体"/>
          <w:color w:val="auto"/>
          <w:sz w:val="24"/>
          <w:szCs w:val="24"/>
          <w:lang w:eastAsia="zh-CN"/>
        </w:rPr>
        <w:t>，</w:t>
      </w:r>
      <w:r>
        <w:rPr>
          <w:rFonts w:hint="eastAsia" w:cs="宋体"/>
          <w:color w:val="auto"/>
          <w:sz w:val="24"/>
          <w:szCs w:val="24"/>
          <w:lang w:val="en-US" w:eastAsia="zh-CN"/>
        </w:rPr>
        <w:t>各分段压裂层位剖面见图2-3-4</w:t>
      </w:r>
      <w:r>
        <w:rPr>
          <w:rFonts w:hint="eastAsia" w:asciiTheme="minorEastAsia" w:hAnsiTheme="minorEastAsia" w:eastAsiaTheme="minorEastAsia" w:cstheme="minorEastAsia"/>
          <w:color w:val="auto"/>
          <w:lang w:val="en-US" w:eastAsia="zh-CN"/>
        </w:rPr>
        <w:t>。</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2-3-1</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分段射孔及位置表</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1"/>
        <w:gridCol w:w="1410"/>
        <w:gridCol w:w="956"/>
        <w:gridCol w:w="1063"/>
        <w:gridCol w:w="1476"/>
        <w:gridCol w:w="1139"/>
        <w:gridCol w:w="1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段数</w:t>
            </w:r>
          </w:p>
        </w:tc>
        <w:tc>
          <w:tcPr>
            <w:tcW w:w="767"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射孔井段</w:t>
            </w:r>
          </w:p>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（m）</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射孔</w:t>
            </w:r>
          </w:p>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簇数</w:t>
            </w:r>
          </w:p>
        </w:tc>
        <w:tc>
          <w:tcPr>
            <w:tcW w:w="580"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孔密</w:t>
            </w:r>
          </w:p>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（孔/</w:t>
            </w:r>
            <w:r>
              <w:rPr>
                <w:rFonts w:hint="eastAsia" w:ascii="楷体_GB2312" w:hAnsi="楷体_GB2312" w:eastAsia="楷体_GB2312" w:cs="楷体_GB2312"/>
                <w:color w:val="auto"/>
                <w:lang w:val="en-US" w:eastAsia="zh-CN"/>
              </w:rPr>
              <w:t>m</w:t>
            </w:r>
            <w:r>
              <w:rPr>
                <w:rFonts w:hint="eastAsia" w:ascii="楷体_GB2312" w:hAnsi="楷体_GB2312" w:eastAsia="楷体_GB2312" w:cs="楷体_GB2312"/>
                <w:color w:val="auto"/>
              </w:rPr>
              <w:t>）</w:t>
            </w:r>
          </w:p>
        </w:tc>
        <w:tc>
          <w:tcPr>
            <w:tcW w:w="795"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射孔数（孔）</w:t>
            </w:r>
          </w:p>
        </w:tc>
        <w:tc>
          <w:tcPr>
            <w:tcW w:w="628"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相位角</w:t>
            </w:r>
          </w:p>
        </w:tc>
        <w:tc>
          <w:tcPr>
            <w:tcW w:w="78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桥塞位置（m）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noWrap/>
            <w:vAlign w:val="center"/>
          </w:tcPr>
          <w:p>
            <w:pPr>
              <w:pStyle w:val="8"/>
              <w:ind w:left="0" w:leftChars="0" w:firstLine="0" w:firstLineChars="0"/>
              <w:jc w:val="center"/>
              <w:rPr>
                <w:rFonts w:hint="eastAsia" w:ascii="楷体_GB2312" w:hAnsi="楷体_GB2312" w:eastAsia="楷体_GB2312" w:cs="楷体_GB2312"/>
                <w:color w:val="auto"/>
                <w:lang w:eastAsia="zh-CN"/>
              </w:rPr>
            </w:pPr>
            <w:r>
              <w:rPr>
                <w:rFonts w:hint="eastAsia" w:ascii="楷体_GB2312" w:hAnsi="楷体_GB2312" w:eastAsia="楷体_GB2312" w:cs="楷体_GB2312"/>
                <w:color w:val="auto"/>
              </w:rPr>
              <w:t>第一段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A-B</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1760-1790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restar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12</w:t>
            </w:r>
          </w:p>
        </w:tc>
        <w:tc>
          <w:tcPr>
            <w:tcW w:w="795" w:type="pct"/>
            <w:vMerge w:val="restar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396</w:t>
            </w:r>
          </w:p>
        </w:tc>
        <w:tc>
          <w:tcPr>
            <w:tcW w:w="628" w:type="pct"/>
            <w:vMerge w:val="restar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60°</w:t>
            </w:r>
          </w:p>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螺旋布孔</w:t>
            </w:r>
          </w:p>
        </w:tc>
        <w:tc>
          <w:tcPr>
            <w:tcW w:w="78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noWrap/>
            <w:vAlign w:val="center"/>
          </w:tcPr>
          <w:p>
            <w:pPr>
              <w:pStyle w:val="8"/>
              <w:ind w:left="0" w:leftChars="0" w:firstLine="0" w:firstLineChars="0"/>
              <w:jc w:val="center"/>
              <w:rPr>
                <w:rFonts w:hint="eastAsia" w:ascii="楷体_GB2312" w:hAnsi="楷体_GB2312" w:eastAsia="楷体_GB2312" w:cs="楷体_GB2312"/>
                <w:color w:val="auto"/>
                <w:lang w:eastAsia="zh-CN"/>
              </w:rPr>
            </w:pPr>
            <w:r>
              <w:rPr>
                <w:rFonts w:hint="eastAsia" w:ascii="楷体_GB2312" w:hAnsi="楷体_GB2312" w:eastAsia="楷体_GB2312" w:cs="楷体_GB2312"/>
                <w:color w:val="auto"/>
              </w:rPr>
              <w:t>第二段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C-D</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1675-1705</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jc w:val="center"/>
              <w:rPr>
                <w:rFonts w:hint="eastAsia" w:ascii="楷体_GB2312" w:hAnsi="楷体_GB2312" w:eastAsia="楷体_GB2312" w:cs="楷体_GB2312"/>
                <w:color w:val="auto"/>
              </w:rPr>
            </w:pPr>
          </w:p>
        </w:tc>
        <w:tc>
          <w:tcPr>
            <w:tcW w:w="795" w:type="pct"/>
            <w:vMerge w:val="continue"/>
            <w:noWrap/>
            <w:vAlign w:val="center"/>
          </w:tcPr>
          <w:p>
            <w:pPr>
              <w:pStyle w:val="8"/>
              <w:jc w:val="center"/>
              <w:rPr>
                <w:rFonts w:hint="eastAsia" w:ascii="楷体_GB2312" w:hAnsi="楷体_GB2312" w:eastAsia="楷体_GB2312" w:cs="楷体_GB2312"/>
                <w:color w:val="auto"/>
              </w:rPr>
            </w:pPr>
          </w:p>
        </w:tc>
        <w:tc>
          <w:tcPr>
            <w:tcW w:w="628" w:type="pct"/>
            <w:vMerge w:val="continue"/>
            <w:noWrap/>
            <w:vAlign w:val="center"/>
          </w:tcPr>
          <w:p>
            <w:pPr>
              <w:pStyle w:val="8"/>
              <w:jc w:val="center"/>
              <w:rPr>
                <w:rFonts w:hint="eastAsia" w:ascii="楷体_GB2312" w:hAnsi="楷体_GB2312" w:eastAsia="楷体_GB2312" w:cs="楷体_GB2312"/>
                <w:color w:val="auto"/>
              </w:rPr>
            </w:pPr>
          </w:p>
        </w:tc>
        <w:tc>
          <w:tcPr>
            <w:tcW w:w="786" w:type="pct"/>
            <w:vMerge w:val="restart"/>
            <w:vAlign w:val="center"/>
          </w:tcPr>
          <w:p>
            <w:pPr>
              <w:pStyle w:val="8"/>
              <w:ind w:left="0" w:leftChars="0" w:firstLine="0" w:firstLineChars="0"/>
              <w:jc w:val="both"/>
              <w:rPr>
                <w:rFonts w:hint="eastAsia" w:ascii="楷体_GB2312" w:hAnsi="楷体_GB2312" w:eastAsia="楷体_GB2312" w:cs="楷体_GB2312"/>
                <w:color w:val="auto"/>
                <w:lang w:eastAsia="zh-CN"/>
              </w:rPr>
            </w:pPr>
            <w:r>
              <w:rPr>
                <w:rFonts w:hint="eastAsia" w:ascii="楷体_GB2312" w:hAnsi="楷体_GB2312" w:eastAsia="楷体_GB2312" w:cs="楷体_GB2312"/>
                <w:color w:val="auto"/>
              </w:rPr>
              <w:t>固井后根据套管接箍数据确定桥塞位置，共10只桥塞</w:t>
            </w:r>
            <w:r>
              <w:rPr>
                <w:rFonts w:hint="eastAsia" w:ascii="楷体_GB2312" w:hAnsi="楷体_GB2312" w:eastAsia="楷体_GB2312" w:cs="楷体_GB2312"/>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第三段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E-F</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1590-1620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第四段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G-H</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1505-1535</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shd w:val="clear" w:color="auto" w:fill="auto"/>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第五段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I-J</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1420-1450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shd w:val="clear" w:color="auto" w:fill="auto"/>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第六段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K-L</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1335-1365</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shd w:val="clear" w:color="auto" w:fill="auto"/>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第七段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M-N</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1250-1280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shd w:val="clear" w:color="auto" w:fill="auto"/>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第八段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O-P</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1160-1190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shd w:val="clear" w:color="auto" w:fill="auto"/>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第九段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Q-R</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1070-1100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918" w:type="pct"/>
            <w:shd w:val="clear" w:color="auto" w:fill="auto"/>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第十段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S-T</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980</w:t>
            </w:r>
            <w:r>
              <w:rPr>
                <w:rFonts w:hint="eastAsia" w:ascii="楷体_GB2312" w:hAnsi="楷体_GB2312" w:eastAsia="楷体_GB2312" w:cs="楷体_GB2312"/>
                <w:color w:val="auto"/>
              </w:rPr>
              <w:t>-</w:t>
            </w:r>
            <w:r>
              <w:rPr>
                <w:rFonts w:hint="eastAsia" w:ascii="楷体_GB2312" w:hAnsi="楷体_GB2312" w:eastAsia="楷体_GB2312" w:cs="楷体_GB2312"/>
                <w:color w:val="auto"/>
                <w:lang w:val="en-US" w:eastAsia="zh-CN"/>
              </w:rPr>
              <w:t>1010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918" w:type="pct"/>
            <w:shd w:val="clear" w:color="auto" w:fill="auto"/>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第十一段</w:t>
            </w:r>
            <w:r>
              <w:rPr>
                <w:rFonts w:hint="eastAsia" w:ascii="楷体_GB2312" w:hAnsi="楷体_GB2312" w:eastAsia="楷体_GB2312" w:cs="楷体_GB2312"/>
                <w:color w:val="auto"/>
                <w:lang w:eastAsia="zh-CN"/>
              </w:rPr>
              <w:t>（</w:t>
            </w:r>
            <w:r>
              <w:rPr>
                <w:rFonts w:hint="eastAsia" w:ascii="楷体_GB2312" w:hAnsi="楷体_GB2312" w:eastAsia="楷体_GB2312" w:cs="楷体_GB2312"/>
                <w:color w:val="auto"/>
                <w:lang w:val="en-US" w:eastAsia="zh-CN"/>
              </w:rPr>
              <w:t>U-V</w:t>
            </w:r>
            <w:r>
              <w:rPr>
                <w:rFonts w:hint="eastAsia" w:ascii="楷体_GB2312" w:hAnsi="楷体_GB2312" w:eastAsia="楷体_GB2312" w:cs="楷体_GB2312"/>
                <w:color w:val="auto"/>
                <w:lang w:eastAsia="zh-CN"/>
              </w:rPr>
              <w:t>）</w:t>
            </w:r>
          </w:p>
        </w:tc>
        <w:tc>
          <w:tcPr>
            <w:tcW w:w="767" w:type="pct"/>
            <w:noWrap/>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890-920</w:t>
            </w:r>
          </w:p>
        </w:tc>
        <w:tc>
          <w:tcPr>
            <w:tcW w:w="523" w:type="pct"/>
            <w:noWrap/>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3</w:t>
            </w:r>
          </w:p>
        </w:tc>
        <w:tc>
          <w:tcPr>
            <w:tcW w:w="580" w:type="pct"/>
            <w:vMerge w:val="continue"/>
            <w:noWrap/>
            <w:vAlign w:val="center"/>
          </w:tcPr>
          <w:p>
            <w:pPr>
              <w:pStyle w:val="8"/>
              <w:ind w:firstLine="472"/>
              <w:rPr>
                <w:rFonts w:ascii="Times New Roman" w:hAnsi="Times New Roman" w:cs="Times New Roman"/>
                <w:color w:val="auto"/>
              </w:rPr>
            </w:pPr>
          </w:p>
        </w:tc>
        <w:tc>
          <w:tcPr>
            <w:tcW w:w="795" w:type="pct"/>
            <w:vMerge w:val="continue"/>
            <w:noWrap/>
            <w:vAlign w:val="center"/>
          </w:tcPr>
          <w:p>
            <w:pPr>
              <w:pStyle w:val="8"/>
              <w:ind w:firstLine="472"/>
              <w:rPr>
                <w:rFonts w:ascii="Times New Roman" w:hAnsi="Times New Roman" w:cs="Times New Roman"/>
                <w:color w:val="auto"/>
              </w:rPr>
            </w:pPr>
          </w:p>
        </w:tc>
        <w:tc>
          <w:tcPr>
            <w:tcW w:w="628" w:type="pct"/>
            <w:vMerge w:val="continue"/>
            <w:noWrap/>
            <w:vAlign w:val="center"/>
          </w:tcPr>
          <w:p>
            <w:pPr>
              <w:pStyle w:val="8"/>
              <w:ind w:firstLine="472"/>
              <w:rPr>
                <w:rFonts w:ascii="Times New Roman" w:hAnsi="Times New Roman" w:cs="Times New Roman"/>
                <w:color w:val="auto"/>
              </w:rPr>
            </w:pPr>
          </w:p>
        </w:tc>
        <w:tc>
          <w:tcPr>
            <w:tcW w:w="786" w:type="pct"/>
            <w:vMerge w:val="continue"/>
            <w:vAlign w:val="center"/>
          </w:tcPr>
          <w:p>
            <w:pPr>
              <w:pStyle w:val="8"/>
              <w:ind w:firstLine="472"/>
              <w:rPr>
                <w:rFonts w:ascii="Times New Roman" w:hAnsi="Times New Roman" w:cs="Times New Roman"/>
                <w:color w:val="auto"/>
              </w:rPr>
            </w:pPr>
          </w:p>
        </w:tc>
      </w:tr>
      <w:bookmarkEnd w:id="123"/>
    </w:tbl>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ind w:left="0" w:leftChars="0" w:firstLine="0" w:firstLineChars="0"/>
        <w:rPr>
          <w:rFonts w:hint="eastAsia" w:asciiTheme="minorEastAsia" w:hAnsiTheme="minorEastAsia" w:eastAsiaTheme="minorEastAsia" w:cstheme="minorEastAsia"/>
          <w:color w:val="auto"/>
          <w:lang w:val="zh-CN"/>
        </w:rPr>
        <w:sectPr>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pStyle w:val="57"/>
        <w:bidi w:val="0"/>
        <w:rPr>
          <w:rFonts w:hint="eastAsia" w:asciiTheme="minorEastAsia" w:hAnsiTheme="minorEastAsia" w:eastAsiaTheme="minorEastAsia" w:cstheme="minorEastAsia"/>
          <w:color w:val="auto"/>
          <w:lang w:val="zh-CN"/>
        </w:rPr>
      </w:pPr>
      <w:r>
        <w:rPr>
          <w:color w:val="auto"/>
        </w:rPr>
        <w:drawing>
          <wp:anchor distT="0" distB="0" distL="114300" distR="114300" simplePos="0" relativeHeight="251708416" behindDoc="0" locked="0" layoutInCell="1" allowOverlap="1">
            <wp:simplePos x="0" y="0"/>
            <wp:positionH relativeFrom="column">
              <wp:posOffset>256540</wp:posOffset>
            </wp:positionH>
            <wp:positionV relativeFrom="paragraph">
              <wp:posOffset>-114935</wp:posOffset>
            </wp:positionV>
            <wp:extent cx="12705715" cy="8781415"/>
            <wp:effectExtent l="0" t="0" r="0" b="0"/>
            <wp:wrapNone/>
            <wp:docPr id="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1"/>
                    <pic:cNvPicPr>
                      <a:picLocks noChangeAspect="1"/>
                    </pic:cNvPicPr>
                  </pic:nvPicPr>
                  <pic:blipFill>
                    <a:blip r:embed="rId104"/>
                    <a:stretch>
                      <a:fillRect/>
                    </a:stretch>
                  </pic:blipFill>
                  <pic:spPr>
                    <a:xfrm>
                      <a:off x="0" y="0"/>
                      <a:ext cx="12705715" cy="8781415"/>
                    </a:xfrm>
                    <a:prstGeom prst="rect">
                      <a:avLst/>
                    </a:prstGeom>
                    <a:noFill/>
                    <a:ln>
                      <a:noFill/>
                    </a:ln>
                  </pic:spPr>
                </pic:pic>
              </a:graphicData>
            </a:graphic>
          </wp:anchor>
        </w:drawing>
      </w: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jc w:val="center"/>
        <w:rPr>
          <w:rFonts w:hint="default" w:asciiTheme="minorEastAsia" w:hAnsiTheme="minorEastAsia" w:eastAsiaTheme="minorEastAsia" w:cstheme="minorEastAsia"/>
          <w:color w:val="auto"/>
          <w:lang w:val="en-US"/>
        </w:rPr>
      </w:pPr>
      <w:r>
        <w:rPr>
          <w:rFonts w:hint="eastAsia" w:ascii="楷体_GB2312" w:hAnsi="楷体_GB2312" w:eastAsia="楷体_GB2312" w:cs="楷体_GB2312"/>
          <w:color w:val="auto"/>
          <w:lang w:val="en-US" w:eastAsia="zh-CN"/>
        </w:rPr>
        <w:t>图2-3-1  压裂井布置平面图</w:t>
      </w:r>
    </w:p>
    <w:p>
      <w:pPr>
        <w:pStyle w:val="57"/>
        <w:bidi w:val="0"/>
        <w:rPr>
          <w:rFonts w:hint="eastAsia" w:asciiTheme="minorEastAsia" w:hAnsiTheme="minorEastAsia" w:eastAsiaTheme="minorEastAsia" w:cstheme="minorEastAsia"/>
          <w:color w:val="auto"/>
          <w:lang w:val="zh-CN"/>
        </w:rPr>
      </w:pPr>
      <w:r>
        <w:rPr>
          <w:color w:val="auto"/>
        </w:rPr>
        <w:drawing>
          <wp:anchor distT="0" distB="0" distL="114300" distR="114300" simplePos="0" relativeHeight="251709440" behindDoc="0" locked="0" layoutInCell="1" allowOverlap="1">
            <wp:simplePos x="0" y="0"/>
            <wp:positionH relativeFrom="column">
              <wp:posOffset>247650</wp:posOffset>
            </wp:positionH>
            <wp:positionV relativeFrom="paragraph">
              <wp:posOffset>-104775</wp:posOffset>
            </wp:positionV>
            <wp:extent cx="12875895" cy="8769985"/>
            <wp:effectExtent l="0" t="0" r="0" b="0"/>
            <wp:wrapNone/>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pic:cNvPicPr>
                  </pic:nvPicPr>
                  <pic:blipFill>
                    <a:blip r:embed="rId105"/>
                    <a:stretch>
                      <a:fillRect/>
                    </a:stretch>
                  </pic:blipFill>
                  <pic:spPr>
                    <a:xfrm>
                      <a:off x="0" y="0"/>
                      <a:ext cx="12875895" cy="8769985"/>
                    </a:xfrm>
                    <a:prstGeom prst="rect">
                      <a:avLst/>
                    </a:prstGeom>
                    <a:noFill/>
                    <a:ln>
                      <a:noFill/>
                    </a:ln>
                  </pic:spPr>
                </pic:pic>
              </a:graphicData>
            </a:graphic>
          </wp:anchor>
        </w:drawing>
      </w: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jc w:val="center"/>
        <w:rPr>
          <w:rFonts w:hint="default" w:asciiTheme="minorEastAsia" w:hAnsiTheme="minorEastAsia" w:eastAsiaTheme="minorEastAsia" w:cstheme="minorEastAsia"/>
          <w:color w:val="auto"/>
          <w:lang w:val="en-US"/>
        </w:rPr>
      </w:pPr>
      <w:r>
        <w:rPr>
          <w:rFonts w:hint="eastAsia" w:ascii="楷体_GB2312" w:hAnsi="楷体_GB2312" w:eastAsia="楷体_GB2312" w:cs="楷体_GB2312"/>
          <w:color w:val="auto"/>
          <w:lang w:val="en-US" w:eastAsia="zh-CN"/>
        </w:rPr>
        <w:t>图2-3-2  压裂井Ⅰ-Ⅰ剖面图</w:t>
      </w: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eastAsia="zh-CN"/>
        </w:rPr>
      </w:pPr>
    </w:p>
    <w:p>
      <w:pPr>
        <w:pStyle w:val="57"/>
        <w:bidi w:val="0"/>
        <w:rPr>
          <w:rFonts w:hint="eastAsia" w:asciiTheme="minorEastAsia" w:hAnsiTheme="minorEastAsia" w:eastAsiaTheme="minorEastAsia" w:cstheme="minorEastAsia"/>
          <w:color w:val="auto"/>
          <w:lang w:val="zh-CN"/>
        </w:rPr>
      </w:pPr>
      <w:r>
        <w:drawing>
          <wp:anchor distT="0" distB="0" distL="114300" distR="114300" simplePos="0" relativeHeight="251725824" behindDoc="0" locked="0" layoutInCell="1" allowOverlap="1">
            <wp:simplePos x="0" y="0"/>
            <wp:positionH relativeFrom="column">
              <wp:posOffset>-207645</wp:posOffset>
            </wp:positionH>
            <wp:positionV relativeFrom="paragraph">
              <wp:posOffset>329565</wp:posOffset>
            </wp:positionV>
            <wp:extent cx="13251815" cy="6871335"/>
            <wp:effectExtent l="0" t="0" r="0" b="0"/>
            <wp:wrapNone/>
            <wp:docPr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pic:cNvPicPr>
                      <a:picLocks noChangeAspect="1"/>
                    </pic:cNvPicPr>
                  </pic:nvPicPr>
                  <pic:blipFill>
                    <a:blip r:embed="rId106"/>
                    <a:stretch>
                      <a:fillRect/>
                    </a:stretch>
                  </pic:blipFill>
                  <pic:spPr>
                    <a:xfrm>
                      <a:off x="0" y="0"/>
                      <a:ext cx="13251815" cy="6871335"/>
                    </a:xfrm>
                    <a:prstGeom prst="rect">
                      <a:avLst/>
                    </a:prstGeom>
                    <a:noFill/>
                    <a:ln>
                      <a:noFill/>
                    </a:ln>
                  </pic:spPr>
                </pic:pic>
              </a:graphicData>
            </a:graphic>
          </wp:anchor>
        </w:drawing>
      </w: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jc w:val="center"/>
        <w:rPr>
          <w:rFonts w:hint="default" w:asciiTheme="minorEastAsia" w:hAnsiTheme="minorEastAsia" w:eastAsiaTheme="minorEastAsia" w:cstheme="minorEastAsia"/>
          <w:color w:val="auto"/>
          <w:lang w:val="en-US"/>
        </w:rPr>
      </w:pPr>
      <w:r>
        <w:rPr>
          <w:rFonts w:hint="eastAsia" w:ascii="楷体_GB2312" w:hAnsi="楷体_GB2312" w:eastAsia="楷体_GB2312" w:cs="楷体_GB2312"/>
          <w:color w:val="auto"/>
          <w:lang w:val="en-US" w:eastAsia="zh-CN"/>
        </w:rPr>
        <w:t>图2-3-3  压裂井+1150m标高水平切面图</w:t>
      </w: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pPr>
    </w:p>
    <w:p>
      <w:pPr>
        <w:pStyle w:val="57"/>
        <w:bidi w:val="0"/>
        <w:rPr>
          <w:rFonts w:hint="eastAsia" w:asciiTheme="minorEastAsia" w:hAnsiTheme="minorEastAsia" w:eastAsiaTheme="minorEastAsia" w:cstheme="minorEastAsia"/>
          <w:color w:val="auto"/>
          <w:lang w:val="zh-CN"/>
        </w:rPr>
        <w:sectPr>
          <w:headerReference r:id="rId10" w:type="default"/>
          <w:pgSz w:w="23811" w:h="16838" w:orient="landscape"/>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pStyle w:val="57"/>
        <w:bidi w:val="0"/>
        <w:jc w:val="center"/>
        <w:rPr>
          <w:rFonts w:hint="eastAsia" w:ascii="楷体_GB2312" w:hAnsi="楷体_GB2312" w:eastAsia="楷体_GB2312" w:cs="楷体_GB2312"/>
          <w:color w:val="auto"/>
          <w:lang w:val="en-US" w:eastAsia="zh-CN"/>
        </w:rPr>
      </w:pPr>
      <w:bookmarkStart w:id="124" w:name="_Toc19109"/>
      <w:r>
        <w:rPr>
          <w:color w:val="auto"/>
        </w:rPr>
        <w:drawing>
          <wp:anchor distT="0" distB="0" distL="0" distR="0" simplePos="0" relativeHeight="251711488" behindDoc="0" locked="0" layoutInCell="1" allowOverlap="1">
            <wp:simplePos x="0" y="0"/>
            <wp:positionH relativeFrom="column">
              <wp:posOffset>2976245</wp:posOffset>
            </wp:positionH>
            <wp:positionV relativeFrom="paragraph">
              <wp:posOffset>222885</wp:posOffset>
            </wp:positionV>
            <wp:extent cx="2792095" cy="2119630"/>
            <wp:effectExtent l="0" t="0" r="8255" b="13970"/>
            <wp:wrapNone/>
            <wp:docPr id="2014144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144823" name="图片 1"/>
                    <pic:cNvPicPr>
                      <a:picLocks noChangeAspect="1"/>
                    </pic:cNvPicPr>
                  </pic:nvPicPr>
                  <pic:blipFill>
                    <a:blip r:embed="rId107"/>
                    <a:stretch>
                      <a:fillRect/>
                    </a:stretch>
                  </pic:blipFill>
                  <pic:spPr>
                    <a:xfrm>
                      <a:off x="0" y="0"/>
                      <a:ext cx="2792095" cy="2119630"/>
                    </a:xfrm>
                    <a:prstGeom prst="rect">
                      <a:avLst/>
                    </a:prstGeom>
                  </pic:spPr>
                </pic:pic>
              </a:graphicData>
            </a:graphic>
          </wp:anchor>
        </w:drawing>
      </w:r>
      <w:r>
        <w:rPr>
          <w:color w:val="auto"/>
        </w:rPr>
        <w:drawing>
          <wp:anchor distT="0" distB="0" distL="0" distR="0" simplePos="0" relativeHeight="251710464" behindDoc="0" locked="0" layoutInCell="1" allowOverlap="1">
            <wp:simplePos x="0" y="0"/>
            <wp:positionH relativeFrom="column">
              <wp:posOffset>-42545</wp:posOffset>
            </wp:positionH>
            <wp:positionV relativeFrom="paragraph">
              <wp:posOffset>241935</wp:posOffset>
            </wp:positionV>
            <wp:extent cx="2780665" cy="2107565"/>
            <wp:effectExtent l="0" t="0" r="635" b="6985"/>
            <wp:wrapNone/>
            <wp:docPr id="19931935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193531" name="图片 1"/>
                    <pic:cNvPicPr>
                      <a:picLocks noChangeAspect="1"/>
                    </pic:cNvPicPr>
                  </pic:nvPicPr>
                  <pic:blipFill>
                    <a:blip r:embed="rId108"/>
                    <a:stretch>
                      <a:fillRect/>
                    </a:stretch>
                  </pic:blipFill>
                  <pic:spPr>
                    <a:xfrm>
                      <a:off x="0" y="0"/>
                      <a:ext cx="2780665" cy="2107565"/>
                    </a:xfrm>
                    <a:prstGeom prst="rect">
                      <a:avLst/>
                    </a:prstGeom>
                  </pic:spPr>
                </pic:pic>
              </a:graphicData>
            </a:graphic>
          </wp:anchor>
        </w:drawing>
      </w: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ind w:firstLine="1200" w:firstLineChars="50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（a）压裂分段1                          （b）压裂分段2</w:t>
      </w:r>
    </w:p>
    <w:p>
      <w:pPr>
        <w:pStyle w:val="57"/>
        <w:bidi w:val="0"/>
        <w:jc w:val="center"/>
        <w:rPr>
          <w:rFonts w:hint="eastAsia" w:ascii="楷体_GB2312" w:hAnsi="楷体_GB2312" w:eastAsia="楷体_GB2312" w:cs="楷体_GB2312"/>
          <w:color w:val="auto"/>
          <w:lang w:val="en-US" w:eastAsia="zh-CN"/>
        </w:rPr>
      </w:pPr>
      <w:r>
        <w:rPr>
          <w:color w:val="auto"/>
        </w:rPr>
        <w:drawing>
          <wp:anchor distT="0" distB="0" distL="0" distR="0" simplePos="0" relativeHeight="251713536" behindDoc="0" locked="0" layoutInCell="1" allowOverlap="1">
            <wp:simplePos x="0" y="0"/>
            <wp:positionH relativeFrom="column">
              <wp:posOffset>2973070</wp:posOffset>
            </wp:positionH>
            <wp:positionV relativeFrom="paragraph">
              <wp:posOffset>255905</wp:posOffset>
            </wp:positionV>
            <wp:extent cx="2825750" cy="2130425"/>
            <wp:effectExtent l="0" t="0" r="12700" b="3175"/>
            <wp:wrapNone/>
            <wp:docPr id="1940179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179953" name="图片 1"/>
                    <pic:cNvPicPr>
                      <a:picLocks noChangeAspect="1"/>
                    </pic:cNvPicPr>
                  </pic:nvPicPr>
                  <pic:blipFill>
                    <a:blip r:embed="rId109"/>
                    <a:stretch>
                      <a:fillRect/>
                    </a:stretch>
                  </pic:blipFill>
                  <pic:spPr>
                    <a:xfrm>
                      <a:off x="0" y="0"/>
                      <a:ext cx="2825750" cy="2130425"/>
                    </a:xfrm>
                    <a:prstGeom prst="rect">
                      <a:avLst/>
                    </a:prstGeom>
                  </pic:spPr>
                </pic:pic>
              </a:graphicData>
            </a:graphic>
          </wp:anchor>
        </w:drawing>
      </w:r>
      <w:r>
        <w:rPr>
          <w:color w:val="auto"/>
        </w:rPr>
        <w:drawing>
          <wp:anchor distT="0" distB="0" distL="0" distR="0" simplePos="0" relativeHeight="251712512" behindDoc="0" locked="0" layoutInCell="1" allowOverlap="1">
            <wp:simplePos x="0" y="0"/>
            <wp:positionH relativeFrom="column">
              <wp:posOffset>3175</wp:posOffset>
            </wp:positionH>
            <wp:positionV relativeFrom="paragraph">
              <wp:posOffset>248920</wp:posOffset>
            </wp:positionV>
            <wp:extent cx="2797810" cy="2125980"/>
            <wp:effectExtent l="0" t="0" r="2540" b="7620"/>
            <wp:wrapNone/>
            <wp:docPr id="3787293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729335" name="图片 1"/>
                    <pic:cNvPicPr>
                      <a:picLocks noChangeAspect="1"/>
                    </pic:cNvPicPr>
                  </pic:nvPicPr>
                  <pic:blipFill>
                    <a:blip r:embed="rId110"/>
                    <a:stretch>
                      <a:fillRect/>
                    </a:stretch>
                  </pic:blipFill>
                  <pic:spPr>
                    <a:xfrm>
                      <a:off x="0" y="0"/>
                      <a:ext cx="2797810" cy="2125980"/>
                    </a:xfrm>
                    <a:prstGeom prst="rect">
                      <a:avLst/>
                    </a:prstGeom>
                  </pic:spPr>
                </pic:pic>
              </a:graphicData>
            </a:graphic>
          </wp:anchor>
        </w:drawing>
      </w: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ind w:firstLine="1200" w:firstLineChars="50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（c）压裂分段3                          （d）压裂分段4</w:t>
      </w:r>
    </w:p>
    <w:p>
      <w:pPr>
        <w:pStyle w:val="57"/>
        <w:bidi w:val="0"/>
        <w:jc w:val="center"/>
        <w:rPr>
          <w:rFonts w:hint="eastAsia" w:ascii="楷体_GB2312" w:hAnsi="楷体_GB2312" w:eastAsia="楷体_GB2312" w:cs="楷体_GB2312"/>
          <w:color w:val="auto"/>
          <w:lang w:val="en-US" w:eastAsia="zh-CN"/>
        </w:rPr>
      </w:pPr>
      <w:r>
        <w:rPr>
          <w:color w:val="auto"/>
        </w:rPr>
        <w:drawing>
          <wp:anchor distT="0" distB="0" distL="0" distR="0" simplePos="0" relativeHeight="251715584" behindDoc="0" locked="0" layoutInCell="1" allowOverlap="1">
            <wp:simplePos x="0" y="0"/>
            <wp:positionH relativeFrom="column">
              <wp:posOffset>2894965</wp:posOffset>
            </wp:positionH>
            <wp:positionV relativeFrom="paragraph">
              <wp:posOffset>300355</wp:posOffset>
            </wp:positionV>
            <wp:extent cx="2832735" cy="2147570"/>
            <wp:effectExtent l="0" t="0" r="5715" b="5080"/>
            <wp:wrapNone/>
            <wp:docPr id="1512844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844394" name="图片 1"/>
                    <pic:cNvPicPr>
                      <a:picLocks noChangeAspect="1"/>
                    </pic:cNvPicPr>
                  </pic:nvPicPr>
                  <pic:blipFill>
                    <a:blip r:embed="rId111"/>
                    <a:stretch>
                      <a:fillRect/>
                    </a:stretch>
                  </pic:blipFill>
                  <pic:spPr>
                    <a:xfrm>
                      <a:off x="0" y="0"/>
                      <a:ext cx="2832735" cy="2147570"/>
                    </a:xfrm>
                    <a:prstGeom prst="rect">
                      <a:avLst/>
                    </a:prstGeom>
                  </pic:spPr>
                </pic:pic>
              </a:graphicData>
            </a:graphic>
          </wp:anchor>
        </w:drawing>
      </w:r>
      <w:r>
        <w:rPr>
          <w:color w:val="auto"/>
        </w:rPr>
        <w:drawing>
          <wp:anchor distT="0" distB="0" distL="0" distR="0" simplePos="0" relativeHeight="251714560" behindDoc="0" locked="0" layoutInCell="1" allowOverlap="1">
            <wp:simplePos x="0" y="0"/>
            <wp:positionH relativeFrom="column">
              <wp:posOffset>-32385</wp:posOffset>
            </wp:positionH>
            <wp:positionV relativeFrom="paragraph">
              <wp:posOffset>302895</wp:posOffset>
            </wp:positionV>
            <wp:extent cx="2785745" cy="2131060"/>
            <wp:effectExtent l="0" t="0" r="14605" b="2540"/>
            <wp:wrapNone/>
            <wp:docPr id="4889107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910733" name="图片 1"/>
                    <pic:cNvPicPr>
                      <a:picLocks noChangeAspect="1"/>
                    </pic:cNvPicPr>
                  </pic:nvPicPr>
                  <pic:blipFill>
                    <a:blip r:embed="rId112"/>
                    <a:stretch>
                      <a:fillRect/>
                    </a:stretch>
                  </pic:blipFill>
                  <pic:spPr>
                    <a:xfrm>
                      <a:off x="0" y="0"/>
                      <a:ext cx="2785745" cy="2131060"/>
                    </a:xfrm>
                    <a:prstGeom prst="rect">
                      <a:avLst/>
                    </a:prstGeom>
                  </pic:spPr>
                </pic:pic>
              </a:graphicData>
            </a:graphic>
          </wp:anchor>
        </w:drawing>
      </w: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ind w:firstLine="1200" w:firstLineChars="50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（e）压裂分段5                          （f）压裂分段6</w:t>
      </w: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r>
        <w:rPr>
          <w:color w:val="auto"/>
        </w:rPr>
        <w:drawing>
          <wp:anchor distT="0" distB="0" distL="0" distR="0" simplePos="0" relativeHeight="251717632" behindDoc="0" locked="0" layoutInCell="1" allowOverlap="1">
            <wp:simplePos x="0" y="0"/>
            <wp:positionH relativeFrom="column">
              <wp:posOffset>3056255</wp:posOffset>
            </wp:positionH>
            <wp:positionV relativeFrom="paragraph">
              <wp:posOffset>288290</wp:posOffset>
            </wp:positionV>
            <wp:extent cx="2845435" cy="2162175"/>
            <wp:effectExtent l="0" t="0" r="12065" b="9525"/>
            <wp:wrapNone/>
            <wp:docPr id="2684267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426742" name="图片 1"/>
                    <pic:cNvPicPr>
                      <a:picLocks noChangeAspect="1"/>
                    </pic:cNvPicPr>
                  </pic:nvPicPr>
                  <pic:blipFill>
                    <a:blip r:embed="rId113"/>
                    <a:stretch>
                      <a:fillRect/>
                    </a:stretch>
                  </pic:blipFill>
                  <pic:spPr>
                    <a:xfrm>
                      <a:off x="0" y="0"/>
                      <a:ext cx="2845435" cy="2162175"/>
                    </a:xfrm>
                    <a:prstGeom prst="rect">
                      <a:avLst/>
                    </a:prstGeom>
                  </pic:spPr>
                </pic:pic>
              </a:graphicData>
            </a:graphic>
          </wp:anchor>
        </w:drawing>
      </w:r>
      <w:r>
        <w:rPr>
          <w:color w:val="auto"/>
        </w:rPr>
        <w:drawing>
          <wp:anchor distT="0" distB="0" distL="0" distR="0" simplePos="0" relativeHeight="251716608" behindDoc="0" locked="0" layoutInCell="1" allowOverlap="1">
            <wp:simplePos x="0" y="0"/>
            <wp:positionH relativeFrom="column">
              <wp:posOffset>-32385</wp:posOffset>
            </wp:positionH>
            <wp:positionV relativeFrom="paragraph">
              <wp:posOffset>289560</wp:posOffset>
            </wp:positionV>
            <wp:extent cx="2879090" cy="2200910"/>
            <wp:effectExtent l="0" t="0" r="16510" b="8890"/>
            <wp:wrapNone/>
            <wp:docPr id="1840989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989160" name="图片 1"/>
                    <pic:cNvPicPr>
                      <a:picLocks noChangeAspect="1"/>
                    </pic:cNvPicPr>
                  </pic:nvPicPr>
                  <pic:blipFill>
                    <a:blip r:embed="rId114"/>
                    <a:stretch>
                      <a:fillRect/>
                    </a:stretch>
                  </pic:blipFill>
                  <pic:spPr>
                    <a:xfrm>
                      <a:off x="0" y="0"/>
                      <a:ext cx="2879090" cy="2200910"/>
                    </a:xfrm>
                    <a:prstGeom prst="rect">
                      <a:avLst/>
                    </a:prstGeom>
                  </pic:spPr>
                </pic:pic>
              </a:graphicData>
            </a:graphic>
          </wp:anchor>
        </w:drawing>
      </w: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ind w:firstLine="1200" w:firstLineChars="50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（g）压裂分段7                           （h）压裂分段8</w:t>
      </w:r>
    </w:p>
    <w:p>
      <w:pPr>
        <w:pStyle w:val="57"/>
        <w:bidi w:val="0"/>
        <w:jc w:val="center"/>
        <w:rPr>
          <w:rFonts w:hint="eastAsia" w:ascii="楷体_GB2312" w:hAnsi="楷体_GB2312" w:eastAsia="楷体_GB2312" w:cs="楷体_GB2312"/>
          <w:color w:val="auto"/>
          <w:lang w:val="en-US" w:eastAsia="zh-CN"/>
        </w:rPr>
      </w:pPr>
      <w:r>
        <w:rPr>
          <w:color w:val="auto"/>
        </w:rPr>
        <w:drawing>
          <wp:anchor distT="0" distB="0" distL="0" distR="0" simplePos="0" relativeHeight="251719680" behindDoc="0" locked="0" layoutInCell="1" allowOverlap="1">
            <wp:simplePos x="0" y="0"/>
            <wp:positionH relativeFrom="column">
              <wp:posOffset>3065780</wp:posOffset>
            </wp:positionH>
            <wp:positionV relativeFrom="paragraph">
              <wp:posOffset>64135</wp:posOffset>
            </wp:positionV>
            <wp:extent cx="2846705" cy="2183130"/>
            <wp:effectExtent l="0" t="0" r="10795" b="7620"/>
            <wp:wrapNone/>
            <wp:docPr id="3299678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67854" name="图片 1"/>
                    <pic:cNvPicPr>
                      <a:picLocks noChangeAspect="1"/>
                    </pic:cNvPicPr>
                  </pic:nvPicPr>
                  <pic:blipFill>
                    <a:blip r:embed="rId115"/>
                    <a:stretch>
                      <a:fillRect/>
                    </a:stretch>
                  </pic:blipFill>
                  <pic:spPr>
                    <a:xfrm>
                      <a:off x="0" y="0"/>
                      <a:ext cx="2846705" cy="2183130"/>
                    </a:xfrm>
                    <a:prstGeom prst="rect">
                      <a:avLst/>
                    </a:prstGeom>
                  </pic:spPr>
                </pic:pic>
              </a:graphicData>
            </a:graphic>
          </wp:anchor>
        </w:drawing>
      </w:r>
      <w:r>
        <w:rPr>
          <w:color w:val="auto"/>
        </w:rPr>
        <w:drawing>
          <wp:anchor distT="0" distB="0" distL="0" distR="0" simplePos="0" relativeHeight="251718656" behindDoc="0" locked="0" layoutInCell="1" allowOverlap="1">
            <wp:simplePos x="0" y="0"/>
            <wp:positionH relativeFrom="column">
              <wp:posOffset>-38735</wp:posOffset>
            </wp:positionH>
            <wp:positionV relativeFrom="paragraph">
              <wp:posOffset>76835</wp:posOffset>
            </wp:positionV>
            <wp:extent cx="2891155" cy="2207260"/>
            <wp:effectExtent l="0" t="0" r="4445" b="2540"/>
            <wp:wrapNone/>
            <wp:docPr id="5872236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23638" name="图片 1"/>
                    <pic:cNvPicPr>
                      <a:picLocks noChangeAspect="1"/>
                    </pic:cNvPicPr>
                  </pic:nvPicPr>
                  <pic:blipFill>
                    <a:blip r:embed="rId116"/>
                    <a:stretch>
                      <a:fillRect/>
                    </a:stretch>
                  </pic:blipFill>
                  <pic:spPr>
                    <a:xfrm>
                      <a:off x="0" y="0"/>
                      <a:ext cx="2891155" cy="2207260"/>
                    </a:xfrm>
                    <a:prstGeom prst="rect">
                      <a:avLst/>
                    </a:prstGeom>
                  </pic:spPr>
                </pic:pic>
              </a:graphicData>
            </a:graphic>
          </wp:anchor>
        </w:drawing>
      </w:r>
    </w:p>
    <w:p>
      <w:pPr>
        <w:pStyle w:val="57"/>
        <w:bidi w:val="0"/>
        <w:ind w:firstLine="1200" w:firstLineChars="500"/>
        <w:jc w:val="both"/>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ind w:firstLine="1200" w:firstLineChars="500"/>
        <w:jc w:val="both"/>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（i）压裂分段9                           （j）压裂分段10</w:t>
      </w:r>
    </w:p>
    <w:p>
      <w:pPr>
        <w:pStyle w:val="57"/>
        <w:bidi w:val="0"/>
        <w:jc w:val="center"/>
        <w:rPr>
          <w:rFonts w:hint="eastAsia" w:ascii="楷体_GB2312" w:hAnsi="楷体_GB2312" w:eastAsia="楷体_GB2312" w:cs="楷体_GB2312"/>
          <w:color w:val="auto"/>
          <w:lang w:val="en-US" w:eastAsia="zh-CN"/>
        </w:rPr>
      </w:pPr>
      <w:r>
        <w:rPr>
          <w:color w:val="auto"/>
        </w:rPr>
        <w:drawing>
          <wp:anchor distT="0" distB="0" distL="0" distR="0" simplePos="0" relativeHeight="251720704" behindDoc="0" locked="0" layoutInCell="1" allowOverlap="1">
            <wp:simplePos x="0" y="0"/>
            <wp:positionH relativeFrom="column">
              <wp:posOffset>1443990</wp:posOffset>
            </wp:positionH>
            <wp:positionV relativeFrom="paragraph">
              <wp:posOffset>167640</wp:posOffset>
            </wp:positionV>
            <wp:extent cx="3002280" cy="2259330"/>
            <wp:effectExtent l="0" t="0" r="7620" b="7620"/>
            <wp:wrapNone/>
            <wp:docPr id="5446068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606834" name="图片 1"/>
                    <pic:cNvPicPr>
                      <a:picLocks noChangeAspect="1"/>
                    </pic:cNvPicPr>
                  </pic:nvPicPr>
                  <pic:blipFill>
                    <a:blip r:embed="rId117"/>
                    <a:stretch>
                      <a:fillRect/>
                    </a:stretch>
                  </pic:blipFill>
                  <pic:spPr>
                    <a:xfrm>
                      <a:off x="0" y="0"/>
                      <a:ext cx="3002280" cy="2259330"/>
                    </a:xfrm>
                    <a:prstGeom prst="rect">
                      <a:avLst/>
                    </a:prstGeom>
                  </pic:spPr>
                </pic:pic>
              </a:graphicData>
            </a:graphic>
          </wp:anchor>
        </w:drawing>
      </w: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pStyle w:val="57"/>
        <w:bidi w:val="0"/>
        <w:jc w:val="center"/>
        <w:rPr>
          <w:rFonts w:hint="eastAsia" w:ascii="楷体_GB2312" w:hAnsi="楷体_GB2312" w:eastAsia="楷体_GB2312" w:cs="楷体_GB2312"/>
          <w:color w:val="auto"/>
          <w:lang w:val="en-US" w:eastAsia="zh-CN"/>
        </w:rPr>
      </w:pPr>
    </w:p>
    <w:p>
      <w:pPr>
        <w:spacing w:line="240" w:lineRule="auto"/>
        <w:ind w:firstLine="420"/>
        <w:jc w:val="center"/>
        <w:rPr>
          <w:rFonts w:hint="eastAsia" w:ascii="楷体_GB2312" w:hAnsi="楷体_GB2312" w:eastAsia="楷体_GB2312" w:cs="楷体_GB2312"/>
          <w:color w:val="auto"/>
          <w:kern w:val="2"/>
          <w:sz w:val="24"/>
          <w:szCs w:val="24"/>
          <w:lang w:val="en-US" w:eastAsia="zh-CN" w:bidi="ar-SA"/>
        </w:rPr>
      </w:pPr>
      <w:r>
        <w:rPr>
          <w:rFonts w:hint="eastAsia" w:ascii="楷体_GB2312" w:hAnsi="楷体_GB2312" w:eastAsia="楷体_GB2312" w:cs="楷体_GB2312"/>
          <w:color w:val="auto"/>
          <w:kern w:val="2"/>
          <w:sz w:val="24"/>
          <w:szCs w:val="24"/>
          <w:lang w:val="en-US" w:eastAsia="zh-CN" w:bidi="ar-SA"/>
        </w:rPr>
        <w:t>（k）压裂分段11</w:t>
      </w:r>
    </w:p>
    <w:p>
      <w:pPr>
        <w:pStyle w:val="57"/>
        <w:bidi w:val="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图2-3-4  各分段压裂层位剖面图</w:t>
      </w: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第四节  压裂施工</w:t>
      </w:r>
      <w:bookmarkEnd w:id="124"/>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一、压裂方案</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highlight w:val="none"/>
          <w:lang w:val="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一</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压裂方式采用水力</w:t>
      </w:r>
      <w:r>
        <w:rPr>
          <w:rFonts w:hint="eastAsia" w:asciiTheme="minorEastAsia" w:hAnsiTheme="minorEastAsia" w:eastAsiaTheme="minorEastAsia" w:cstheme="minorEastAsia"/>
          <w:color w:val="auto"/>
          <w:highlight w:val="none"/>
        </w:rPr>
        <w:t>分段压裂，分段间距</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0～</w:t>
      </w:r>
      <w:r>
        <w:rPr>
          <w:rFonts w:hint="eastAsia" w:asciiTheme="minorEastAsia" w:hAnsiTheme="minorEastAsia" w:eastAsiaTheme="minorEastAsia" w:cstheme="minorEastAsia"/>
          <w:color w:val="auto"/>
          <w:highlight w:val="none"/>
          <w:lang w:val="en-US" w:eastAsia="zh-CN"/>
        </w:rPr>
        <w:t>9</w:t>
      </w:r>
      <w:r>
        <w:rPr>
          <w:rFonts w:hint="eastAsia" w:asciiTheme="minorEastAsia" w:hAnsiTheme="minorEastAsia" w:eastAsiaTheme="minorEastAsia" w:cstheme="minorEastAsia"/>
          <w:color w:val="auto"/>
          <w:highlight w:val="none"/>
        </w:rPr>
        <w:t>0m左右，压裂施工排量以5</w:t>
      </w:r>
      <w:r>
        <w:rPr>
          <w:rFonts w:hint="eastAsia" w:asciiTheme="minorEastAsia" w:hAnsiTheme="minorEastAsia" w:eastAsiaTheme="minorEastAsia" w:cstheme="minorEastAsia"/>
          <w:color w:val="auto"/>
          <w:highlight w:val="none"/>
          <w:lang w:val="en-US" w:eastAsia="zh-CN"/>
        </w:rPr>
        <w:t>m</w:t>
      </w:r>
      <w:r>
        <w:rPr>
          <w:rFonts w:hint="eastAsia" w:asciiTheme="minorEastAsia" w:hAnsiTheme="minorEastAsia" w:eastAsiaTheme="minorEastAsia" w:cstheme="minorEastAsia"/>
          <w:color w:val="auto"/>
          <w:highlight w:val="none"/>
          <w:vertAlign w:val="superscript"/>
          <w:lang w:val="en-US" w:eastAsia="zh-CN"/>
        </w:rPr>
        <w:t>3</w:t>
      </w:r>
      <w:r>
        <w:rPr>
          <w:rFonts w:hint="eastAsia" w:asciiTheme="minorEastAsia" w:hAnsiTheme="minorEastAsia" w:eastAsiaTheme="minorEastAsia" w:cstheme="minorEastAsia"/>
          <w:color w:val="auto"/>
          <w:highlight w:val="none"/>
        </w:rPr>
        <w:t>/min为宜，每段施工压裂液用量350～</w:t>
      </w:r>
      <w:r>
        <w:rPr>
          <w:rFonts w:hint="eastAsia" w:asciiTheme="minorEastAsia" w:hAnsiTheme="minorEastAsia" w:eastAsiaTheme="minorEastAsia" w:cstheme="minorEastAsia"/>
          <w:color w:val="auto"/>
          <w:highlight w:val="none"/>
          <w:lang w:val="en-US" w:eastAsia="zh-CN"/>
        </w:rPr>
        <w:t>40</w:t>
      </w:r>
      <w:r>
        <w:rPr>
          <w:rFonts w:hint="eastAsia" w:asciiTheme="minorEastAsia" w:hAnsiTheme="minorEastAsia" w:eastAsiaTheme="minorEastAsia" w:cstheme="minorEastAsia"/>
          <w:color w:val="auto"/>
          <w:highlight w:val="none"/>
        </w:rPr>
        <w:t>0</w:t>
      </w:r>
      <w:r>
        <w:rPr>
          <w:rFonts w:hint="eastAsia" w:asciiTheme="minorEastAsia" w:hAnsiTheme="minorEastAsia" w:eastAsiaTheme="minorEastAsia" w:cstheme="minorEastAsia"/>
          <w:color w:val="auto"/>
          <w:highlight w:val="none"/>
          <w:lang w:val="en-US" w:eastAsia="zh-CN"/>
        </w:rPr>
        <w:t>m</w:t>
      </w:r>
      <w:r>
        <w:rPr>
          <w:rFonts w:hint="eastAsia" w:asciiTheme="minorEastAsia" w:hAnsiTheme="minorEastAsia" w:eastAsiaTheme="minorEastAsia" w:cstheme="minorEastAsia"/>
          <w:color w:val="auto"/>
          <w:highlight w:val="none"/>
          <w:vertAlign w:val="superscript"/>
          <w:lang w:val="en-US" w:eastAsia="zh-CN"/>
        </w:rPr>
        <w:t>3</w:t>
      </w:r>
      <w:r>
        <w:rPr>
          <w:rFonts w:hint="eastAsia" w:asciiTheme="minorEastAsia" w:hAnsiTheme="minorEastAsia" w:eastAsiaTheme="minorEastAsia" w:cstheme="minorEastAsia"/>
          <w:color w:val="auto"/>
          <w:highlight w:val="none"/>
        </w:rPr>
        <w:t>，单段压裂时长约1.5～2h。</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zh-CN"/>
        </w:rPr>
        <w:t>（</w:t>
      </w:r>
      <w:r>
        <w:rPr>
          <w:rFonts w:hint="eastAsia" w:asciiTheme="minorEastAsia" w:hAnsiTheme="minorEastAsia" w:eastAsiaTheme="minorEastAsia" w:cstheme="minorEastAsia"/>
          <w:color w:val="auto"/>
          <w:lang w:val="en-US" w:eastAsia="zh-CN"/>
        </w:rPr>
        <w:t>二</w:t>
      </w:r>
      <w:r>
        <w:rPr>
          <w:rFonts w:hint="eastAsia" w:asciiTheme="minorEastAsia" w:hAnsiTheme="minorEastAsia" w:eastAsiaTheme="minorEastAsia" w:cstheme="minorEastAsia"/>
          <w:color w:val="auto"/>
          <w:lang w:val="zh-CN"/>
        </w:rPr>
        <w:t>）射孔每段3簇，</w:t>
      </w:r>
      <w:r>
        <w:rPr>
          <w:rFonts w:hint="eastAsia" w:asciiTheme="minorEastAsia" w:hAnsiTheme="minorEastAsia" w:eastAsiaTheme="minorEastAsia" w:cstheme="minorEastAsia"/>
          <w:color w:val="auto"/>
          <w:lang w:val="en-US" w:eastAsia="zh-CN"/>
        </w:rPr>
        <w:t>10</w:t>
      </w:r>
      <w:r>
        <w:rPr>
          <w:rFonts w:hint="eastAsia" w:asciiTheme="minorEastAsia" w:hAnsiTheme="minorEastAsia" w:eastAsiaTheme="minorEastAsia" w:cstheme="minorEastAsia"/>
          <w:color w:val="auto"/>
        </w:rPr>
        <w:t>～</w:t>
      </w:r>
      <w:r>
        <w:rPr>
          <w:rFonts w:hint="eastAsia" w:asciiTheme="minorEastAsia" w:hAnsiTheme="minorEastAsia" w:eastAsiaTheme="minorEastAsia" w:cstheme="minorEastAsia"/>
          <w:color w:val="auto"/>
          <w:lang w:val="en-US" w:eastAsia="zh-CN"/>
        </w:rPr>
        <w:t>12</w:t>
      </w:r>
      <w:r>
        <w:rPr>
          <w:rFonts w:hint="eastAsia" w:asciiTheme="minorEastAsia" w:hAnsiTheme="minorEastAsia" w:cstheme="minorEastAsia"/>
          <w:color w:val="auto"/>
          <w:lang w:val="en-US" w:eastAsia="zh-CN"/>
        </w:rPr>
        <w:t>孔</w:t>
      </w:r>
      <w:r>
        <w:rPr>
          <w:rFonts w:hint="eastAsia" w:asciiTheme="minorEastAsia" w:hAnsiTheme="minorEastAsia" w:eastAsiaTheme="minorEastAsia" w:cstheme="minorEastAsia"/>
          <w:color w:val="auto"/>
          <w:lang w:val="zh-CN"/>
        </w:rPr>
        <w:t>/</w:t>
      </w:r>
      <w:r>
        <w:rPr>
          <w:rFonts w:hint="eastAsia" w:asciiTheme="minorEastAsia" w:hAnsiTheme="minorEastAsia" w:eastAsiaTheme="minorEastAsia" w:cstheme="minorEastAsia"/>
          <w:color w:val="auto"/>
          <w:lang w:val="en-US" w:eastAsia="zh-CN"/>
        </w:rPr>
        <w:t>簇</w:t>
      </w:r>
      <w:r>
        <w:rPr>
          <w:rFonts w:hint="eastAsia" w:asciiTheme="minorEastAsia" w:hAnsiTheme="minorEastAsia" w:eastAsiaTheme="minorEastAsia" w:cstheme="minorEastAsia"/>
          <w:color w:val="auto"/>
          <w:lang w:val="zh-CN"/>
        </w:rPr>
        <w:t>；</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zh-CN"/>
        </w:rPr>
        <w:t>（</w:t>
      </w:r>
      <w:r>
        <w:rPr>
          <w:rFonts w:hint="eastAsia" w:asciiTheme="minorEastAsia" w:hAnsiTheme="minorEastAsia" w:eastAsiaTheme="minorEastAsia" w:cstheme="minorEastAsia"/>
          <w:color w:val="auto"/>
          <w:lang w:val="en-US" w:eastAsia="zh-CN"/>
        </w:rPr>
        <w:t>三</w:t>
      </w:r>
      <w:r>
        <w:rPr>
          <w:rFonts w:hint="eastAsia" w:asciiTheme="minorEastAsia" w:hAnsiTheme="minorEastAsia" w:eastAsiaTheme="minorEastAsia" w:cstheme="minorEastAsia"/>
          <w:color w:val="auto"/>
          <w:lang w:val="zh-CN"/>
        </w:rPr>
        <w:t>）压裂排量：</w:t>
      </w:r>
      <w:r>
        <w:rPr>
          <w:rFonts w:hint="eastAsia" w:asciiTheme="minorEastAsia" w:hAnsiTheme="minorEastAsia" w:eastAsiaTheme="minorEastAsia" w:cstheme="minorEastAsia"/>
          <w:color w:val="auto"/>
        </w:rPr>
        <w:t>5</w:t>
      </w:r>
      <w:r>
        <w:rPr>
          <w:rFonts w:hint="eastAsia" w:asciiTheme="minorEastAsia" w:hAnsiTheme="minorEastAsia" w:cstheme="minorEastAsia"/>
          <w:color w:val="auto"/>
          <w:lang w:val="en-US" w:eastAsia="zh-CN"/>
        </w:rPr>
        <w:t>m</w:t>
      </w:r>
      <w:r>
        <w:rPr>
          <w:rFonts w:hint="eastAsia" w:asciiTheme="minorEastAsia" w:hAnsiTheme="minorEastAsia" w:cstheme="minorEastAsia"/>
          <w:color w:val="auto"/>
          <w:vertAlign w:val="superscript"/>
          <w:lang w:val="en-US" w:eastAsia="zh-CN"/>
        </w:rPr>
        <w:t>3</w:t>
      </w:r>
      <w:r>
        <w:rPr>
          <w:rFonts w:hint="eastAsia" w:asciiTheme="minorEastAsia" w:hAnsiTheme="minorEastAsia" w:eastAsiaTheme="minorEastAsia" w:cstheme="minorEastAsia"/>
          <w:color w:val="auto"/>
        </w:rPr>
        <w:t>/min</w:t>
      </w:r>
      <w:r>
        <w:rPr>
          <w:rFonts w:hint="eastAsia" w:asciiTheme="minorEastAsia" w:hAnsiTheme="minorEastAsia" w:eastAsiaTheme="minorEastAsia" w:cstheme="minorEastAsia"/>
          <w:color w:val="auto"/>
          <w:lang w:val="zh-CN"/>
        </w:rPr>
        <w:t>，选择2500型压裂泵车，单台车排量</w:t>
      </w:r>
      <w:r>
        <w:rPr>
          <w:rFonts w:hint="eastAsia" w:asciiTheme="minorEastAsia" w:hAnsiTheme="minorEastAsia" w:eastAsiaTheme="minorEastAsia" w:cstheme="minorEastAsia"/>
          <w:color w:val="auto"/>
          <w:lang w:val="en-US" w:eastAsia="zh-CN"/>
        </w:rPr>
        <w:t>1</w:t>
      </w:r>
      <w:r>
        <w:rPr>
          <w:rFonts w:hint="eastAsia" w:asciiTheme="minorEastAsia" w:hAnsiTheme="minorEastAsia" w:eastAsiaTheme="minorEastAsia" w:cstheme="minorEastAsia"/>
          <w:color w:val="auto"/>
          <w:lang w:val="zh-CN"/>
        </w:rPr>
        <w:t>.</w:t>
      </w:r>
      <w:r>
        <w:rPr>
          <w:rFonts w:hint="eastAsia" w:asciiTheme="minorEastAsia" w:hAnsiTheme="minorEastAsia" w:eastAsiaTheme="minorEastAsia" w:cstheme="minorEastAsia"/>
          <w:color w:val="auto"/>
        </w:rPr>
        <w:t>5</w:t>
      </w:r>
      <w:r>
        <w:rPr>
          <w:rFonts w:hint="eastAsia" w:asciiTheme="minorEastAsia" w:hAnsiTheme="minorEastAsia" w:cstheme="minorEastAsia"/>
          <w:color w:val="auto"/>
          <w:lang w:val="en-US" w:eastAsia="zh-CN"/>
        </w:rPr>
        <w:t>m</w:t>
      </w:r>
      <w:r>
        <w:rPr>
          <w:rFonts w:hint="eastAsia" w:asciiTheme="minorEastAsia" w:hAnsiTheme="minorEastAsia" w:cstheme="minorEastAsia"/>
          <w:color w:val="auto"/>
          <w:vertAlign w:val="superscript"/>
          <w:lang w:val="en-US" w:eastAsia="zh-CN"/>
        </w:rPr>
        <w:t>3</w:t>
      </w:r>
      <w:r>
        <w:rPr>
          <w:rFonts w:hint="eastAsia" w:asciiTheme="minorEastAsia" w:hAnsiTheme="minorEastAsia" w:eastAsiaTheme="minorEastAsia" w:cstheme="minorEastAsia"/>
          <w:color w:val="auto"/>
        </w:rPr>
        <w:t>/min</w:t>
      </w:r>
      <w:r>
        <w:rPr>
          <w:rFonts w:hint="eastAsia" w:asciiTheme="minorEastAsia" w:hAnsiTheme="minorEastAsia" w:eastAsiaTheme="minorEastAsia" w:cstheme="minorEastAsia"/>
          <w:color w:val="auto"/>
          <w:lang w:val="zh-CN"/>
        </w:rPr>
        <w:t>，需要2500型泵车</w:t>
      </w:r>
      <w:r>
        <w:rPr>
          <w:rFonts w:hint="eastAsia" w:asciiTheme="minorEastAsia" w:hAnsiTheme="minorEastAsia" w:eastAsiaTheme="minorEastAsia" w:cstheme="minorEastAsia"/>
          <w:color w:val="auto"/>
        </w:rPr>
        <w:t>5</w:t>
      </w:r>
      <w:r>
        <w:rPr>
          <w:rFonts w:hint="eastAsia" w:asciiTheme="minorEastAsia" w:hAnsiTheme="minorEastAsia" w:eastAsiaTheme="minorEastAsia" w:cstheme="minorEastAsia"/>
          <w:color w:val="auto"/>
          <w:lang w:val="zh-CN"/>
        </w:rPr>
        <w:t>台。</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bookmarkStart w:id="125" w:name="_Toc200569895"/>
      <w:r>
        <w:rPr>
          <w:rFonts w:hint="eastAsia" w:asciiTheme="minorEastAsia" w:hAnsiTheme="minorEastAsia" w:eastAsiaTheme="minorEastAsia" w:cstheme="minorEastAsia"/>
          <w:color w:val="auto"/>
          <w:lang w:val="en-US" w:eastAsia="zh-CN"/>
        </w:rPr>
        <w:t>（四）</w:t>
      </w:r>
      <w:r>
        <w:rPr>
          <w:rFonts w:hint="eastAsia" w:asciiTheme="minorEastAsia" w:hAnsiTheme="minorEastAsia" w:eastAsiaTheme="minorEastAsia" w:cstheme="minorEastAsia"/>
          <w:color w:val="auto"/>
          <w:lang w:val="zh-CN"/>
        </w:rPr>
        <w:t>压裂砂组合</w:t>
      </w:r>
      <w:bookmarkEnd w:id="125"/>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en-US" w:eastAsia="zh-CN"/>
        </w:rPr>
        <w:t>1.</w:t>
      </w:r>
      <w:r>
        <w:rPr>
          <w:rFonts w:hint="eastAsia" w:asciiTheme="minorEastAsia" w:hAnsiTheme="minorEastAsia" w:eastAsiaTheme="minorEastAsia" w:cstheme="minorEastAsia"/>
          <w:color w:val="auto"/>
          <w:lang w:val="zh-CN"/>
        </w:rPr>
        <w:t>70</w:t>
      </w:r>
      <w:r>
        <w:rPr>
          <w:rFonts w:hint="eastAsia" w:asciiTheme="minorEastAsia" w:hAnsiTheme="minorEastAsia" w:eastAsiaTheme="minorEastAsia" w:cstheme="minorEastAsia"/>
          <w:color w:val="auto"/>
        </w:rPr>
        <w:t>～</w:t>
      </w:r>
      <w:r>
        <w:rPr>
          <w:rFonts w:hint="eastAsia" w:asciiTheme="minorEastAsia" w:hAnsiTheme="minorEastAsia" w:eastAsiaTheme="minorEastAsia" w:cstheme="minorEastAsia"/>
          <w:color w:val="auto"/>
          <w:lang w:val="zh-CN"/>
        </w:rPr>
        <w:t>140目石英砂段塞造缝，破碎</w:t>
      </w:r>
      <w:r>
        <w:rPr>
          <w:rFonts w:hint="eastAsia" w:asciiTheme="minorEastAsia" w:hAnsiTheme="minorEastAsia" w:eastAsiaTheme="minorEastAsia" w:cstheme="minorEastAsia"/>
          <w:color w:val="auto"/>
          <w:lang w:val="en-US" w:eastAsia="zh-CN"/>
        </w:rPr>
        <w:t>强度</w:t>
      </w:r>
      <w:r>
        <w:rPr>
          <w:rFonts w:hint="eastAsia" w:asciiTheme="minorEastAsia" w:hAnsiTheme="minorEastAsia" w:eastAsiaTheme="minorEastAsia" w:cstheme="minorEastAsia"/>
          <w:color w:val="auto"/>
          <w:lang w:val="zh-CN"/>
        </w:rPr>
        <w:t>≤28MPa，体积密度：1.58g/c</w:t>
      </w:r>
      <w:r>
        <w:rPr>
          <w:rFonts w:hint="eastAsia" w:asciiTheme="minorEastAsia" w:hAnsiTheme="minorEastAsia" w:eastAsiaTheme="minorEastAsia" w:cstheme="minorEastAsia"/>
          <w:color w:val="auto"/>
          <w:highlight w:val="none"/>
          <w:lang w:val="en-US" w:eastAsia="zh-CN"/>
        </w:rPr>
        <w:t>m</w:t>
      </w:r>
      <w:r>
        <w:rPr>
          <w:rFonts w:hint="eastAsia" w:asciiTheme="minorEastAsia" w:hAnsiTheme="minorEastAsia" w:eastAsiaTheme="minorEastAsia" w:cstheme="minorEastAsia"/>
          <w:color w:val="auto"/>
          <w:highlight w:val="none"/>
          <w:vertAlign w:val="superscript"/>
          <w:lang w:val="en-US" w:eastAsia="zh-CN"/>
        </w:rPr>
        <w:t>3</w:t>
      </w:r>
      <w:r>
        <w:rPr>
          <w:rFonts w:hint="eastAsia" w:asciiTheme="minorEastAsia" w:hAnsiTheme="minorEastAsia" w:eastAsiaTheme="minorEastAsia" w:cstheme="minorEastAsia"/>
          <w:color w:val="auto"/>
          <w:lang w:val="zh-CN"/>
        </w:rPr>
        <w:t>；</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en-US" w:eastAsia="zh-CN"/>
        </w:rPr>
        <w:t>2.</w:t>
      </w:r>
      <w:r>
        <w:rPr>
          <w:rFonts w:hint="eastAsia" w:asciiTheme="minorEastAsia" w:hAnsiTheme="minorEastAsia" w:eastAsiaTheme="minorEastAsia" w:cstheme="minorEastAsia"/>
          <w:color w:val="auto"/>
          <w:lang w:val="zh-CN"/>
        </w:rPr>
        <w:t>40</w:t>
      </w:r>
      <w:r>
        <w:rPr>
          <w:rFonts w:hint="eastAsia" w:asciiTheme="minorEastAsia" w:hAnsiTheme="minorEastAsia" w:eastAsiaTheme="minorEastAsia" w:cstheme="minorEastAsia"/>
          <w:color w:val="auto"/>
        </w:rPr>
        <w:t>～</w:t>
      </w:r>
      <w:r>
        <w:rPr>
          <w:rFonts w:hint="eastAsia" w:asciiTheme="minorEastAsia" w:hAnsiTheme="minorEastAsia" w:eastAsiaTheme="minorEastAsia" w:cstheme="minorEastAsia"/>
          <w:color w:val="auto"/>
          <w:lang w:val="zh-CN"/>
        </w:rPr>
        <w:t>70目石英砂主加砂，破碎</w:t>
      </w:r>
      <w:r>
        <w:rPr>
          <w:rFonts w:hint="eastAsia" w:asciiTheme="minorEastAsia" w:hAnsiTheme="minorEastAsia" w:eastAsiaTheme="minorEastAsia" w:cstheme="minorEastAsia"/>
          <w:color w:val="auto"/>
          <w:lang w:val="en-US" w:eastAsia="zh-CN"/>
        </w:rPr>
        <w:t>强度</w:t>
      </w:r>
      <w:r>
        <w:rPr>
          <w:rFonts w:hint="eastAsia" w:asciiTheme="minorEastAsia" w:hAnsiTheme="minorEastAsia" w:eastAsiaTheme="minorEastAsia" w:cstheme="minorEastAsia"/>
          <w:color w:val="auto"/>
          <w:lang w:val="zh-CN"/>
        </w:rPr>
        <w:t>≤28MPa，体积密度：1.52g/c</w:t>
      </w:r>
      <w:r>
        <w:rPr>
          <w:rFonts w:hint="eastAsia" w:asciiTheme="minorEastAsia" w:hAnsiTheme="minorEastAsia" w:eastAsiaTheme="minorEastAsia" w:cstheme="minorEastAsia"/>
          <w:color w:val="auto"/>
          <w:highlight w:val="none"/>
          <w:lang w:val="en-US" w:eastAsia="zh-CN"/>
        </w:rPr>
        <w:t>m</w:t>
      </w:r>
      <w:r>
        <w:rPr>
          <w:rFonts w:hint="eastAsia" w:asciiTheme="minorEastAsia" w:hAnsiTheme="minorEastAsia" w:eastAsiaTheme="minorEastAsia" w:cstheme="minorEastAsia"/>
          <w:color w:val="auto"/>
          <w:highlight w:val="none"/>
          <w:vertAlign w:val="superscript"/>
          <w:lang w:val="en-US" w:eastAsia="zh-CN"/>
        </w:rPr>
        <w:t>3</w:t>
      </w:r>
      <w:r>
        <w:rPr>
          <w:rFonts w:hint="eastAsia" w:asciiTheme="minorEastAsia" w:hAnsiTheme="minorEastAsia" w:eastAsiaTheme="minorEastAsia" w:cstheme="minorEastAsia"/>
          <w:color w:val="auto"/>
          <w:lang w:val="zh-CN"/>
        </w:rPr>
        <w:t>；</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en-US" w:eastAsia="zh-CN"/>
        </w:rPr>
        <w:t>3.</w:t>
      </w:r>
      <w:r>
        <w:rPr>
          <w:rFonts w:hint="eastAsia" w:asciiTheme="minorEastAsia" w:hAnsiTheme="minorEastAsia" w:eastAsiaTheme="minorEastAsia" w:cstheme="minorEastAsia"/>
          <w:color w:val="auto"/>
          <w:lang w:val="zh-CN"/>
        </w:rPr>
        <w:t>单段砂量15～25</w:t>
      </w:r>
      <w:r>
        <w:rPr>
          <w:rFonts w:hint="eastAsia" w:asciiTheme="minorEastAsia" w:hAnsiTheme="minorEastAsia" w:eastAsiaTheme="minorEastAsia" w:cstheme="minorEastAsia"/>
          <w:color w:val="auto"/>
          <w:highlight w:val="none"/>
          <w:lang w:val="en-US" w:eastAsia="zh-CN"/>
        </w:rPr>
        <w:t>m</w:t>
      </w:r>
      <w:r>
        <w:rPr>
          <w:rFonts w:hint="eastAsia" w:asciiTheme="minorEastAsia" w:hAnsiTheme="minorEastAsia" w:eastAsiaTheme="minorEastAsia" w:cstheme="minorEastAsia"/>
          <w:color w:val="auto"/>
          <w:highlight w:val="none"/>
          <w:vertAlign w:val="superscript"/>
          <w:lang w:val="en-US" w:eastAsia="zh-CN"/>
        </w:rPr>
        <w:t>3</w:t>
      </w:r>
      <w:r>
        <w:rPr>
          <w:rFonts w:hint="eastAsia" w:asciiTheme="minorEastAsia" w:hAnsiTheme="minorEastAsia" w:eastAsiaTheme="minorEastAsia" w:cstheme="minorEastAsia"/>
          <w:color w:val="auto"/>
          <w:lang w:val="zh-CN"/>
        </w:rPr>
        <w:t>，单段液量3</w:t>
      </w:r>
      <w:r>
        <w:rPr>
          <w:rFonts w:hint="eastAsia" w:asciiTheme="minorEastAsia" w:hAnsiTheme="minorEastAsia" w:eastAsiaTheme="minorEastAsia" w:cstheme="minorEastAsia"/>
          <w:color w:val="auto"/>
          <w:lang w:val="en-US" w:eastAsia="zh-CN"/>
        </w:rPr>
        <w:t>5</w:t>
      </w:r>
      <w:r>
        <w:rPr>
          <w:rFonts w:hint="eastAsia" w:asciiTheme="minorEastAsia" w:hAnsiTheme="minorEastAsia" w:eastAsiaTheme="minorEastAsia" w:cstheme="minorEastAsia"/>
          <w:color w:val="auto"/>
          <w:lang w:val="zh-CN"/>
        </w:rPr>
        <w:t>0～</w:t>
      </w:r>
      <w:r>
        <w:rPr>
          <w:rFonts w:hint="eastAsia" w:asciiTheme="minorEastAsia" w:hAnsiTheme="minorEastAsia" w:eastAsiaTheme="minorEastAsia" w:cstheme="minorEastAsia"/>
          <w:color w:val="auto"/>
        </w:rPr>
        <w:t>4</w:t>
      </w:r>
      <w:r>
        <w:rPr>
          <w:rFonts w:hint="eastAsia" w:asciiTheme="minorEastAsia" w:hAnsiTheme="minorEastAsia" w:eastAsiaTheme="minorEastAsia" w:cstheme="minorEastAsia"/>
          <w:color w:val="auto"/>
          <w:lang w:val="en-US" w:eastAsia="zh-CN"/>
        </w:rPr>
        <w:t>0</w:t>
      </w:r>
      <w:r>
        <w:rPr>
          <w:rFonts w:hint="eastAsia" w:asciiTheme="minorEastAsia" w:hAnsiTheme="minorEastAsia" w:eastAsiaTheme="minorEastAsia" w:cstheme="minorEastAsia"/>
          <w:color w:val="auto"/>
        </w:rPr>
        <w:t>0</w:t>
      </w:r>
      <w:r>
        <w:rPr>
          <w:rFonts w:hint="eastAsia" w:asciiTheme="minorEastAsia" w:hAnsiTheme="minorEastAsia" w:eastAsiaTheme="minorEastAsia" w:cstheme="minorEastAsia"/>
          <w:color w:val="auto"/>
          <w:highlight w:val="none"/>
          <w:lang w:val="en-US" w:eastAsia="zh-CN"/>
        </w:rPr>
        <w:t>m</w:t>
      </w:r>
      <w:r>
        <w:rPr>
          <w:rFonts w:hint="eastAsia" w:asciiTheme="minorEastAsia" w:hAnsiTheme="minorEastAsia" w:eastAsiaTheme="minorEastAsia" w:cstheme="minorEastAsia"/>
          <w:color w:val="auto"/>
          <w:highlight w:val="none"/>
          <w:vertAlign w:val="superscript"/>
          <w:lang w:val="en-US" w:eastAsia="zh-CN"/>
        </w:rPr>
        <w:t>3</w:t>
      </w:r>
      <w:r>
        <w:rPr>
          <w:rFonts w:hint="eastAsia" w:asciiTheme="minorEastAsia" w:hAnsiTheme="minorEastAsia" w:eastAsiaTheme="minorEastAsia" w:cstheme="minorEastAsia"/>
          <w:color w:val="auto"/>
          <w:sz w:val="24"/>
          <w:szCs w:val="24"/>
          <w:lang w:val="zh-CN"/>
        </w:rPr>
        <w:t>；</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highlight w:val="none"/>
          <w:lang w:val="zh-CN"/>
        </w:rPr>
      </w:pPr>
      <w:r>
        <w:rPr>
          <w:rFonts w:hint="eastAsia" w:asciiTheme="minorEastAsia" w:hAnsiTheme="minorEastAsia" w:eastAsiaTheme="minorEastAsia" w:cstheme="minorEastAsia"/>
          <w:color w:val="auto"/>
          <w:lang w:val="zh-CN"/>
        </w:rPr>
        <w:t>（</w:t>
      </w:r>
      <w:r>
        <w:rPr>
          <w:rFonts w:hint="eastAsia" w:asciiTheme="minorEastAsia" w:hAnsiTheme="minorEastAsia" w:eastAsiaTheme="minorEastAsia" w:cstheme="minorEastAsia"/>
          <w:color w:val="auto"/>
          <w:highlight w:val="none"/>
          <w:lang w:val="en-US" w:eastAsia="zh-CN"/>
        </w:rPr>
        <w:t>五</w:t>
      </w:r>
      <w:r>
        <w:rPr>
          <w:rFonts w:hint="eastAsia" w:asciiTheme="minorEastAsia" w:hAnsiTheme="minorEastAsia" w:eastAsiaTheme="minorEastAsia" w:cstheme="minorEastAsia"/>
          <w:color w:val="auto"/>
          <w:highlight w:val="none"/>
          <w:lang w:val="zh-CN"/>
        </w:rPr>
        <w:t>）</w:t>
      </w:r>
      <w:r>
        <w:rPr>
          <w:rFonts w:hint="eastAsia" w:asciiTheme="minorEastAsia" w:hAnsiTheme="minorEastAsia" w:eastAsiaTheme="minorEastAsia" w:cstheme="minorEastAsia"/>
          <w:color w:val="auto"/>
          <w:highlight w:val="none"/>
        </w:rPr>
        <w:t>压裂液</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highlight w:val="none"/>
          <w:lang w:val="zh-CN"/>
        </w:rPr>
      </w:pPr>
      <w:r>
        <w:rPr>
          <w:rFonts w:hint="eastAsia" w:asciiTheme="minorEastAsia" w:hAnsiTheme="minorEastAsia" w:eastAsiaTheme="minorEastAsia" w:cstheme="minorEastAsia"/>
          <w:color w:val="auto"/>
          <w:highlight w:val="none"/>
          <w:lang w:val="zh-CN"/>
        </w:rPr>
        <w:t>为了利于造缝和控制裂缝高度，采用低粘度压裂液小排量造缝提高液体粘度和排量扩展裂缝的工艺，压裂液选用一体化乳液变粘压裂液体系。</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highlight w:val="none"/>
          <w:lang w:val="zh-CN"/>
        </w:rPr>
      </w:pPr>
      <w:r>
        <w:rPr>
          <w:rFonts w:hint="eastAsia" w:asciiTheme="minorEastAsia" w:hAnsiTheme="minorEastAsia" w:eastAsiaTheme="minorEastAsia" w:cstheme="minorEastAsia"/>
          <w:color w:val="auto"/>
          <w:highlight w:val="none"/>
          <w:lang w:val="zh-CN"/>
        </w:rPr>
        <w:t>一体化乳液变粘压裂液：0.2～0.8%一体化乳液+0.002～0.005%破胶剂（浓度根据现场施工压力变化调整比例，一般0.2～0.6%）。</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highlight w:val="none"/>
          <w:lang w:val="zh-CN"/>
        </w:rPr>
      </w:pPr>
      <w:r>
        <w:rPr>
          <w:rFonts w:hint="eastAsia" w:asciiTheme="minorEastAsia" w:hAnsiTheme="minorEastAsia" w:eastAsiaTheme="minorEastAsia" w:cstheme="minorEastAsia"/>
          <w:color w:val="auto"/>
          <w:highlight w:val="none"/>
          <w:lang w:val="zh-CN"/>
        </w:rPr>
        <w:t>加砂用一体化乳液变粘压裂液：浓度0.3～0.6%。</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zh-CN"/>
        </w:rPr>
        <w:t>顶替液用：0.</w:t>
      </w:r>
      <w:r>
        <w:rPr>
          <w:rFonts w:hint="eastAsia" w:asciiTheme="minorEastAsia" w:hAnsiTheme="minorEastAsia" w:eastAsiaTheme="minorEastAsia" w:cstheme="minorEastAsia"/>
          <w:color w:val="auto"/>
          <w:lang w:val="en-US" w:eastAsia="zh-CN"/>
        </w:rPr>
        <w:t>3</w:t>
      </w:r>
      <w:r>
        <w:rPr>
          <w:rFonts w:hint="eastAsia" w:asciiTheme="minorEastAsia" w:hAnsiTheme="minorEastAsia" w:eastAsiaTheme="minorEastAsia" w:cstheme="minorEastAsia"/>
          <w:color w:val="auto"/>
          <w:lang w:val="zh-CN"/>
        </w:rPr>
        <w:t>5%一体化变粘压裂液+2%KC</w:t>
      </w:r>
      <w:r>
        <w:rPr>
          <w:rFonts w:hint="eastAsia" w:asciiTheme="minorEastAsia" w:hAnsiTheme="minorEastAsia" w:eastAsiaTheme="minorEastAsia" w:cstheme="minorEastAsia"/>
          <w:color w:val="auto"/>
          <w:lang w:val="en-US" w:eastAsia="zh-CN"/>
        </w:rPr>
        <w:t>l</w:t>
      </w:r>
      <w:r>
        <w:rPr>
          <w:rFonts w:hint="eastAsia" w:asciiTheme="minorEastAsia" w:hAnsiTheme="minorEastAsia" w:eastAsiaTheme="minorEastAsia" w:cstheme="minorEastAsia"/>
          <w:color w:val="auto"/>
          <w:lang w:val="zh-CN"/>
        </w:rPr>
        <w:t>活性水（溶桥塞）；</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zh-CN"/>
        </w:rPr>
        <w:t>泵送桥塞：活性水。</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b/>
          <w:bCs/>
          <w:color w:val="auto"/>
          <w:lang w:val="en-US" w:eastAsia="zh-CN"/>
        </w:rPr>
      </w:pPr>
      <w:bookmarkStart w:id="126" w:name="_Toc23070"/>
      <w:bookmarkStart w:id="127" w:name="_Toc200569896"/>
      <w:r>
        <w:rPr>
          <w:rFonts w:hint="eastAsia" w:asciiTheme="minorEastAsia" w:hAnsiTheme="minorEastAsia" w:eastAsiaTheme="minorEastAsia" w:cstheme="minorEastAsia"/>
          <w:b/>
          <w:bCs/>
          <w:color w:val="auto"/>
          <w:lang w:val="en-US" w:eastAsia="zh-CN"/>
        </w:rPr>
        <w:t>二、压裂施工</w:t>
      </w:r>
      <w:bookmarkEnd w:id="126"/>
      <w:bookmarkEnd w:id="127"/>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b w:val="0"/>
          <w:bCs w:val="0"/>
          <w:color w:val="auto"/>
          <w:kern w:val="2"/>
          <w:sz w:val="24"/>
          <w:szCs w:val="24"/>
          <w:lang w:val="zh-CN" w:eastAsia="zh-CN" w:bidi="ar-SA"/>
        </w:rPr>
      </w:pPr>
      <w:r>
        <w:rPr>
          <w:rFonts w:hint="eastAsia" w:asciiTheme="minorEastAsia" w:hAnsiTheme="minorEastAsia" w:eastAsiaTheme="minorEastAsia" w:cstheme="minorEastAsia"/>
          <w:b w:val="0"/>
          <w:bCs w:val="0"/>
          <w:color w:val="auto"/>
          <w:kern w:val="2"/>
          <w:sz w:val="24"/>
          <w:szCs w:val="24"/>
          <w:lang w:val="zh-CN" w:eastAsia="zh-CN" w:bidi="ar-SA"/>
        </w:rPr>
        <w:t>摆放压裂设备，连接施工管汇，认真执行以下程序：</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kern w:val="2"/>
          <w:sz w:val="24"/>
          <w:szCs w:val="24"/>
          <w:lang w:val="zh-CN" w:eastAsia="zh-CN" w:bidi="ar-SA"/>
        </w:rPr>
      </w:pPr>
      <w:r>
        <w:rPr>
          <w:rFonts w:hint="eastAsia" w:asciiTheme="minorEastAsia" w:hAnsiTheme="minorEastAsia" w:eastAsiaTheme="minorEastAsia" w:cstheme="minorEastAsia"/>
          <w:color w:val="auto"/>
          <w:kern w:val="2"/>
          <w:sz w:val="24"/>
          <w:szCs w:val="24"/>
          <w:lang w:val="en-US" w:eastAsia="zh-CN" w:bidi="ar-SA"/>
        </w:rPr>
        <w:t>1.</w:t>
      </w:r>
      <w:r>
        <w:rPr>
          <w:rFonts w:hint="eastAsia" w:asciiTheme="minorEastAsia" w:hAnsiTheme="minorEastAsia" w:eastAsiaTheme="minorEastAsia" w:cstheme="minorEastAsia"/>
          <w:color w:val="auto"/>
          <w:kern w:val="2"/>
          <w:sz w:val="24"/>
          <w:szCs w:val="24"/>
          <w:lang w:val="zh-CN" w:eastAsia="zh-CN" w:bidi="ar-SA"/>
        </w:rPr>
        <w:t>循环：循环水平压裂流程管线，循环路线从储液罐流出进入混砂车，经泵送进压裂车，再经压裂泵从高压管汇进入回收罐，循环时单车泵的排量不低于1.00</w:t>
      </w:r>
      <w:r>
        <w:rPr>
          <w:rFonts w:hint="eastAsia" w:asciiTheme="minorEastAsia" w:hAnsiTheme="minorEastAsia" w:eastAsiaTheme="minorEastAsia" w:cstheme="minorEastAsia"/>
          <w:color w:val="auto"/>
          <w:highlight w:val="none"/>
          <w:lang w:val="en-US" w:eastAsia="zh-CN"/>
        </w:rPr>
        <w:t>m</w:t>
      </w:r>
      <w:r>
        <w:rPr>
          <w:rFonts w:hint="eastAsia" w:asciiTheme="minorEastAsia" w:hAnsiTheme="minorEastAsia" w:eastAsiaTheme="minorEastAsia" w:cstheme="minorEastAsia"/>
          <w:color w:val="auto"/>
          <w:highlight w:val="none"/>
          <w:vertAlign w:val="superscript"/>
          <w:lang w:val="en-US" w:eastAsia="zh-CN"/>
        </w:rPr>
        <w:t>3</w:t>
      </w:r>
      <w:r>
        <w:rPr>
          <w:rFonts w:hint="eastAsia" w:asciiTheme="minorEastAsia" w:hAnsiTheme="minorEastAsia" w:eastAsiaTheme="minorEastAsia" w:cstheme="minorEastAsia"/>
          <w:color w:val="auto"/>
          <w:kern w:val="2"/>
          <w:sz w:val="24"/>
          <w:szCs w:val="24"/>
          <w:lang w:val="zh-CN" w:eastAsia="zh-CN" w:bidi="ar-SA"/>
        </w:rPr>
        <w:t>/min，时间不少于30s达到进出口水质一致和无段塞流为合格。</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kern w:val="2"/>
          <w:sz w:val="24"/>
          <w:szCs w:val="24"/>
          <w:lang w:val="zh-CN" w:eastAsia="zh-CN" w:bidi="ar-SA"/>
        </w:rPr>
      </w:pPr>
      <w:r>
        <w:rPr>
          <w:rFonts w:hint="eastAsia" w:asciiTheme="minorEastAsia" w:hAnsiTheme="minorEastAsia" w:eastAsiaTheme="minorEastAsia" w:cstheme="minorEastAsia"/>
          <w:color w:val="auto"/>
          <w:kern w:val="2"/>
          <w:sz w:val="24"/>
          <w:szCs w:val="24"/>
          <w:lang w:val="en-US" w:eastAsia="zh-CN" w:bidi="ar-SA"/>
        </w:rPr>
        <w:t>2.</w:t>
      </w:r>
      <w:r>
        <w:rPr>
          <w:rFonts w:hint="eastAsia" w:asciiTheme="minorEastAsia" w:hAnsiTheme="minorEastAsia" w:eastAsiaTheme="minorEastAsia" w:cstheme="minorEastAsia"/>
          <w:color w:val="auto"/>
          <w:kern w:val="2"/>
          <w:sz w:val="24"/>
          <w:szCs w:val="24"/>
          <w:lang w:val="zh-CN" w:eastAsia="zh-CN" w:bidi="ar-SA"/>
        </w:rPr>
        <w:t>试压：井口及地面管线试压，35MPa，</w:t>
      </w:r>
      <w:r>
        <w:rPr>
          <w:rFonts w:hint="eastAsia" w:asciiTheme="minorEastAsia" w:hAnsiTheme="minorEastAsia" w:eastAsiaTheme="minorEastAsia" w:cstheme="minorEastAsia"/>
          <w:color w:val="auto"/>
          <w:kern w:val="2"/>
          <w:sz w:val="24"/>
          <w:szCs w:val="24"/>
          <w:highlight w:val="none"/>
          <w:lang w:val="zh-CN" w:eastAsia="zh-CN" w:bidi="ar-SA"/>
        </w:rPr>
        <w:t>1～3min不刺不漏为合格</w:t>
      </w:r>
      <w:r>
        <w:rPr>
          <w:rFonts w:hint="eastAsia" w:asciiTheme="minorEastAsia" w:hAnsiTheme="minorEastAsia" w:eastAsiaTheme="minorEastAsia" w:cstheme="minorEastAsia"/>
          <w:color w:val="auto"/>
          <w:kern w:val="2"/>
          <w:sz w:val="24"/>
          <w:szCs w:val="24"/>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kern w:val="2"/>
          <w:sz w:val="24"/>
          <w:szCs w:val="24"/>
          <w:lang w:val="zh-CN" w:eastAsia="zh-CN" w:bidi="ar-SA"/>
        </w:rPr>
      </w:pPr>
      <w:r>
        <w:rPr>
          <w:rFonts w:hint="eastAsia" w:asciiTheme="minorEastAsia" w:hAnsiTheme="minorEastAsia" w:eastAsiaTheme="minorEastAsia" w:cstheme="minorEastAsia"/>
          <w:color w:val="auto"/>
          <w:kern w:val="2"/>
          <w:sz w:val="24"/>
          <w:szCs w:val="24"/>
          <w:lang w:val="en-US" w:eastAsia="zh-CN" w:bidi="ar-SA"/>
        </w:rPr>
        <w:t>3.</w:t>
      </w:r>
      <w:r>
        <w:rPr>
          <w:rFonts w:hint="eastAsia" w:asciiTheme="minorEastAsia" w:hAnsiTheme="minorEastAsia" w:eastAsiaTheme="minorEastAsia" w:cstheme="minorEastAsia"/>
          <w:color w:val="auto"/>
          <w:kern w:val="2"/>
          <w:sz w:val="24"/>
          <w:szCs w:val="24"/>
          <w:lang w:val="zh-CN" w:eastAsia="zh-CN" w:bidi="ar-SA"/>
        </w:rPr>
        <w:t>压裂施工：打开井口阀门，关闭循环放空阀门，逐台启动压裂车，根据施工的压力，按照相应的压裂泵注程序调整进行施工。</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2-4-1</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压裂施工参考泵注程序表</w:t>
      </w:r>
    </w:p>
    <w:tbl>
      <w:tblPr>
        <w:tblStyle w:val="25"/>
        <w:tblW w:w="4996" w:type="pct"/>
        <w:jc w:val="center"/>
        <w:tblLayout w:type="fixed"/>
        <w:tblCellMar>
          <w:top w:w="0" w:type="dxa"/>
          <w:left w:w="108" w:type="dxa"/>
          <w:bottom w:w="0" w:type="dxa"/>
          <w:right w:w="108" w:type="dxa"/>
        </w:tblCellMar>
      </w:tblPr>
      <w:tblGrid>
        <w:gridCol w:w="564"/>
        <w:gridCol w:w="646"/>
        <w:gridCol w:w="785"/>
        <w:gridCol w:w="807"/>
        <w:gridCol w:w="808"/>
        <w:gridCol w:w="831"/>
        <w:gridCol w:w="796"/>
        <w:gridCol w:w="762"/>
        <w:gridCol w:w="866"/>
        <w:gridCol w:w="1304"/>
        <w:gridCol w:w="1114"/>
      </w:tblGrid>
      <w:tr>
        <w:tblPrEx>
          <w:tblCellMar>
            <w:top w:w="0" w:type="dxa"/>
            <w:left w:w="108" w:type="dxa"/>
            <w:bottom w:w="0" w:type="dxa"/>
            <w:right w:w="108" w:type="dxa"/>
          </w:tblCellMar>
        </w:tblPrEx>
        <w:trPr>
          <w:trHeight w:val="283" w:hRule="atLeast"/>
          <w:jc w:val="center"/>
        </w:trPr>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施工工序</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液体</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类型</w:t>
            </w:r>
            <w:r>
              <w:rPr>
                <w:rFonts w:hint="eastAsia" w:ascii="楷体_GB2312" w:hAnsi="楷体_GB2312" w:eastAsia="楷体_GB2312" w:cs="楷体_GB2312"/>
                <w:color w:val="auto"/>
                <w:kern w:val="0"/>
                <w:sz w:val="21"/>
                <w:szCs w:val="21"/>
                <w:u w:color="FF0000"/>
                <w:lang w:bidi="ar"/>
              </w:rPr>
              <w:br w:type="textWrapping"/>
            </w:r>
            <w:r>
              <w:rPr>
                <w:rFonts w:hint="eastAsia" w:ascii="楷体_GB2312" w:hAnsi="楷体_GB2312" w:eastAsia="楷体_GB2312" w:cs="楷体_GB2312"/>
                <w:color w:val="auto"/>
                <w:kern w:val="0"/>
                <w:sz w:val="21"/>
                <w:szCs w:val="21"/>
                <w:u w:color="FF0000"/>
                <w:lang w:bidi="ar"/>
              </w:rPr>
              <w:t>浓度(%)</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排量</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val="en-US" w:eastAsia="zh-CN" w:bidi="ar"/>
              </w:rPr>
              <w:t>m</w:t>
            </w:r>
            <w:r>
              <w:rPr>
                <w:rFonts w:hint="eastAsia" w:ascii="楷体_GB2312" w:hAnsi="楷体_GB2312" w:eastAsia="楷体_GB2312" w:cs="楷体_GB2312"/>
                <w:color w:val="auto"/>
                <w:kern w:val="0"/>
                <w:sz w:val="21"/>
                <w:szCs w:val="21"/>
                <w:u w:color="FF0000"/>
                <w:vertAlign w:val="superscript"/>
                <w:lang w:val="en-US" w:eastAsia="zh-CN" w:bidi="ar"/>
              </w:rPr>
              <w:t>3</w:t>
            </w:r>
            <w:r>
              <w:rPr>
                <w:rStyle w:val="60"/>
                <w:rFonts w:hint="eastAsia" w:ascii="楷体_GB2312" w:hAnsi="楷体_GB2312" w:eastAsia="楷体_GB2312" w:cs="楷体_GB2312"/>
                <w:color w:val="auto"/>
                <w:u w:color="FF0000"/>
                <w:lang w:bidi="ar"/>
              </w:rPr>
              <w:t>/min</w:t>
            </w:r>
            <w:r>
              <w:rPr>
                <w:rStyle w:val="60"/>
                <w:rFonts w:hint="eastAsia" w:ascii="楷体_GB2312" w:hAnsi="楷体_GB2312" w:eastAsia="楷体_GB2312" w:cs="楷体_GB2312"/>
                <w:color w:val="auto"/>
                <w:u w:color="FF0000"/>
                <w:lang w:eastAsia="zh-CN" w:bidi="ar"/>
              </w:rPr>
              <w:t>）</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净液量</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val="en-US" w:eastAsia="zh-CN" w:bidi="ar"/>
              </w:rPr>
              <w:t>m</w:t>
            </w:r>
            <w:r>
              <w:rPr>
                <w:rFonts w:hint="eastAsia" w:ascii="楷体_GB2312" w:hAnsi="楷体_GB2312" w:eastAsia="楷体_GB2312" w:cs="楷体_GB2312"/>
                <w:color w:val="auto"/>
                <w:kern w:val="0"/>
                <w:sz w:val="21"/>
                <w:szCs w:val="21"/>
                <w:u w:color="FF0000"/>
                <w:vertAlign w:val="superscript"/>
                <w:lang w:val="en-US" w:eastAsia="zh-CN" w:bidi="ar"/>
              </w:rPr>
              <w:t>3</w:t>
            </w:r>
            <w:r>
              <w:rPr>
                <w:rFonts w:hint="eastAsia" w:ascii="楷体_GB2312" w:hAnsi="楷体_GB2312" w:eastAsia="楷体_GB2312" w:cs="楷体_GB2312"/>
                <w:color w:val="auto"/>
                <w:kern w:val="0"/>
                <w:sz w:val="21"/>
                <w:szCs w:val="21"/>
                <w:u w:color="FF0000"/>
                <w:lang w:eastAsia="zh-CN" w:bidi="ar"/>
              </w:rPr>
              <w:t>）</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混砂</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液量</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val="en-US" w:eastAsia="zh-CN" w:bidi="ar"/>
              </w:rPr>
              <w:t>m</w:t>
            </w:r>
            <w:r>
              <w:rPr>
                <w:rFonts w:hint="eastAsia" w:ascii="楷体_GB2312" w:hAnsi="楷体_GB2312" w:eastAsia="楷体_GB2312" w:cs="楷体_GB2312"/>
                <w:color w:val="auto"/>
                <w:kern w:val="0"/>
                <w:sz w:val="21"/>
                <w:szCs w:val="21"/>
                <w:u w:color="FF0000"/>
                <w:vertAlign w:val="superscript"/>
                <w:lang w:val="en-US" w:eastAsia="zh-CN" w:bidi="ar"/>
              </w:rPr>
              <w:t>3</w:t>
            </w:r>
            <w:r>
              <w:rPr>
                <w:rFonts w:hint="eastAsia" w:ascii="楷体_GB2312" w:hAnsi="楷体_GB2312" w:eastAsia="楷体_GB2312" w:cs="楷体_GB2312"/>
                <w:color w:val="auto"/>
                <w:kern w:val="0"/>
                <w:sz w:val="21"/>
                <w:szCs w:val="21"/>
                <w:u w:color="FF0000"/>
                <w:lang w:eastAsia="zh-CN" w:bidi="ar"/>
              </w:rPr>
              <w:t>）</w:t>
            </w:r>
          </w:p>
        </w:tc>
        <w:tc>
          <w:tcPr>
            <w:tcW w:w="447"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累计混砂液量</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val="en-US" w:eastAsia="zh-CN" w:bidi="ar"/>
              </w:rPr>
              <w:t>m</w:t>
            </w:r>
            <w:r>
              <w:rPr>
                <w:rFonts w:hint="eastAsia" w:ascii="楷体_GB2312" w:hAnsi="楷体_GB2312" w:eastAsia="楷体_GB2312" w:cs="楷体_GB2312"/>
                <w:color w:val="auto"/>
                <w:kern w:val="0"/>
                <w:sz w:val="21"/>
                <w:szCs w:val="21"/>
                <w:u w:color="FF0000"/>
                <w:vertAlign w:val="superscript"/>
                <w:lang w:val="en-US" w:eastAsia="zh-CN" w:bidi="ar"/>
              </w:rPr>
              <w:t>3</w:t>
            </w:r>
            <w:r>
              <w:rPr>
                <w:rFonts w:hint="eastAsia" w:ascii="楷体_GB2312" w:hAnsi="楷体_GB2312" w:eastAsia="楷体_GB2312" w:cs="楷体_GB2312"/>
                <w:color w:val="auto"/>
                <w:kern w:val="0"/>
                <w:sz w:val="21"/>
                <w:szCs w:val="21"/>
                <w:u w:color="FF0000"/>
                <w:lang w:eastAsia="zh-CN" w:bidi="ar"/>
              </w:rPr>
              <w:t>）</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砂量</w:t>
            </w: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val="en-US" w:eastAsia="zh-CN" w:bidi="ar"/>
              </w:rPr>
              <w:t>m</w:t>
            </w:r>
            <w:r>
              <w:rPr>
                <w:rFonts w:hint="eastAsia" w:ascii="楷体_GB2312" w:hAnsi="楷体_GB2312" w:eastAsia="楷体_GB2312" w:cs="楷体_GB2312"/>
                <w:color w:val="auto"/>
                <w:kern w:val="0"/>
                <w:sz w:val="21"/>
                <w:szCs w:val="21"/>
                <w:u w:color="FF0000"/>
                <w:vertAlign w:val="superscript"/>
                <w:lang w:val="en-US" w:eastAsia="zh-CN" w:bidi="ar"/>
              </w:rPr>
              <w:t>3</w:t>
            </w:r>
            <w:r>
              <w:rPr>
                <w:rFonts w:hint="eastAsia" w:ascii="楷体_GB2312" w:hAnsi="楷体_GB2312" w:eastAsia="楷体_GB2312" w:cs="楷体_GB2312"/>
                <w:color w:val="auto"/>
                <w:kern w:val="0"/>
                <w:sz w:val="21"/>
                <w:szCs w:val="21"/>
                <w:u w:color="FF0000"/>
                <w:lang w:eastAsia="zh-CN" w:bidi="ar"/>
              </w:rPr>
              <w:t>）</w:t>
            </w:r>
          </w:p>
        </w:tc>
        <w:tc>
          <w:tcPr>
            <w:tcW w:w="41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砂液比</w:t>
            </w: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bidi="ar"/>
              </w:rPr>
              <w:t>%</w:t>
            </w:r>
            <w:r>
              <w:rPr>
                <w:rFonts w:hint="eastAsia" w:ascii="楷体_GB2312" w:hAnsi="楷体_GB2312" w:eastAsia="楷体_GB2312" w:cs="楷体_GB2312"/>
                <w:color w:val="auto"/>
                <w:kern w:val="0"/>
                <w:sz w:val="21"/>
                <w:szCs w:val="21"/>
                <w:u w:color="FF0000"/>
                <w:lang w:eastAsia="zh-CN" w:bidi="ar"/>
              </w:rPr>
              <w:t>）</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时间</w:t>
            </w: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bidi="ar"/>
              </w:rPr>
              <w:t>min</w:t>
            </w:r>
            <w:r>
              <w:rPr>
                <w:rFonts w:hint="eastAsia" w:ascii="楷体_GB2312" w:hAnsi="楷体_GB2312" w:eastAsia="楷体_GB2312" w:cs="楷体_GB2312"/>
                <w:color w:val="auto"/>
                <w:kern w:val="0"/>
                <w:sz w:val="21"/>
                <w:szCs w:val="21"/>
                <w:u w:color="FF0000"/>
                <w:lang w:eastAsia="zh-CN" w:bidi="ar"/>
              </w:rPr>
              <w:t>）</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破胶剂速度</w:t>
            </w:r>
            <w:r>
              <w:rPr>
                <w:rFonts w:hint="eastAsia" w:ascii="楷体_GB2312" w:hAnsi="楷体_GB2312" w:eastAsia="楷体_GB2312" w:cs="楷体_GB2312"/>
                <w:color w:val="auto"/>
                <w:kern w:val="0"/>
                <w:sz w:val="21"/>
                <w:szCs w:val="21"/>
                <w:u w:color="FF0000"/>
                <w:lang w:eastAsia="zh-CN" w:bidi="ar"/>
              </w:rPr>
              <w:t>（</w:t>
            </w:r>
            <w:r>
              <w:rPr>
                <w:rFonts w:hint="eastAsia" w:ascii="楷体_GB2312" w:hAnsi="楷体_GB2312" w:eastAsia="楷体_GB2312" w:cs="楷体_GB2312"/>
                <w:color w:val="auto"/>
                <w:kern w:val="0"/>
                <w:sz w:val="21"/>
                <w:szCs w:val="21"/>
                <w:u w:color="FF0000"/>
                <w:lang w:bidi="ar"/>
              </w:rPr>
              <w:t>kg/min</w:t>
            </w:r>
            <w:r>
              <w:rPr>
                <w:rFonts w:hint="eastAsia" w:ascii="楷体_GB2312" w:hAnsi="楷体_GB2312" w:eastAsia="楷体_GB2312" w:cs="楷体_GB2312"/>
                <w:color w:val="auto"/>
                <w:kern w:val="0"/>
                <w:sz w:val="21"/>
                <w:szCs w:val="21"/>
                <w:u w:color="FF0000"/>
                <w:lang w:eastAsia="zh-CN" w:bidi="ar"/>
              </w:rPr>
              <w:t>）</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支撑剂</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类型</w:t>
            </w:r>
          </w:p>
        </w:tc>
      </w:tr>
      <w:tr>
        <w:tblPrEx>
          <w:tblCellMar>
            <w:top w:w="0" w:type="dxa"/>
            <w:left w:w="108" w:type="dxa"/>
            <w:bottom w:w="0" w:type="dxa"/>
            <w:right w:w="108" w:type="dxa"/>
          </w:tblCellMar>
        </w:tblPrEx>
        <w:trPr>
          <w:trHeight w:val="503" w:hRule="atLeast"/>
          <w:jc w:val="center"/>
        </w:trPr>
        <w:tc>
          <w:tcPr>
            <w:tcW w:w="3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前</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置</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液</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p>
        </w:tc>
        <w:tc>
          <w:tcPr>
            <w:tcW w:w="3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滑</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溜</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水0.5%</w:t>
            </w:r>
          </w:p>
        </w:tc>
        <w:tc>
          <w:tcPr>
            <w:tcW w:w="4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1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5</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r>
      <w:tr>
        <w:tblPrEx>
          <w:tblCellMar>
            <w:top w:w="0" w:type="dxa"/>
            <w:left w:w="108" w:type="dxa"/>
            <w:bottom w:w="0" w:type="dxa"/>
            <w:right w:w="108" w:type="dxa"/>
          </w:tblCellMar>
        </w:tblPrEx>
        <w:trPr>
          <w:trHeight w:val="680"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30</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30</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55</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1.5</w:t>
            </w:r>
          </w:p>
        </w:tc>
        <w:tc>
          <w:tcPr>
            <w:tcW w:w="41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6</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70/140目石英砂</w:t>
            </w:r>
          </w:p>
        </w:tc>
      </w:tr>
      <w:tr>
        <w:tblPrEx>
          <w:tblCellMar>
            <w:top w:w="0" w:type="dxa"/>
            <w:left w:w="108" w:type="dxa"/>
            <w:bottom w:w="0" w:type="dxa"/>
            <w:right w:w="108" w:type="dxa"/>
          </w:tblCellMar>
        </w:tblPrEx>
        <w:trPr>
          <w:trHeight w:val="503"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15.5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15.5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70.5</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1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3.1</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r>
      <w:tr>
        <w:tblPrEx>
          <w:tblCellMar>
            <w:top w:w="0" w:type="dxa"/>
            <w:left w:w="108" w:type="dxa"/>
            <w:bottom w:w="0" w:type="dxa"/>
            <w:right w:w="108" w:type="dxa"/>
          </w:tblCellMar>
        </w:tblPrEx>
        <w:trPr>
          <w:trHeight w:val="680"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115.5</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2.2</w:t>
            </w: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9</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70/140目石英砂</w:t>
            </w:r>
          </w:p>
        </w:tc>
      </w:tr>
      <w:tr>
        <w:tblPrEx>
          <w:tblCellMar>
            <w:top w:w="0" w:type="dxa"/>
            <w:left w:w="108" w:type="dxa"/>
            <w:bottom w:w="0" w:type="dxa"/>
            <w:right w:w="108" w:type="dxa"/>
          </w:tblCellMar>
        </w:tblPrEx>
        <w:trPr>
          <w:trHeight w:val="470"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24.5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24.5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140</w:t>
            </w: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4.9</w:t>
            </w:r>
          </w:p>
        </w:tc>
        <w:tc>
          <w:tcPr>
            <w:tcW w:w="70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r>
      <w:tr>
        <w:tblPrEx>
          <w:tblCellMar>
            <w:top w:w="0" w:type="dxa"/>
            <w:left w:w="108" w:type="dxa"/>
            <w:bottom w:w="0" w:type="dxa"/>
            <w:right w:w="108" w:type="dxa"/>
          </w:tblCellMar>
        </w:tblPrEx>
        <w:trPr>
          <w:trHeight w:val="624"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25.3</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165.3</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2.2</w:t>
            </w:r>
          </w:p>
        </w:tc>
        <w:tc>
          <w:tcPr>
            <w:tcW w:w="4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9</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5</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70/140目石英砂</w:t>
            </w:r>
          </w:p>
        </w:tc>
      </w:tr>
      <w:tr>
        <w:tblPrEx>
          <w:tblCellMar>
            <w:top w:w="0" w:type="dxa"/>
            <w:left w:w="108" w:type="dxa"/>
            <w:bottom w:w="0" w:type="dxa"/>
            <w:right w:w="108" w:type="dxa"/>
          </w:tblCellMar>
        </w:tblPrEx>
        <w:trPr>
          <w:trHeight w:val="283" w:hRule="atLeast"/>
          <w:jc w:val="center"/>
        </w:trPr>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投暂堵球</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滑</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溜</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水0.5%</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190.3</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5</w:t>
            </w:r>
          </w:p>
        </w:tc>
        <w:tc>
          <w:tcPr>
            <w:tcW w:w="70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22mm暂堵球25个投球前降排量至2</w:t>
            </w:r>
            <w:r>
              <w:rPr>
                <w:rFonts w:hint="eastAsia" w:ascii="楷体_GB2312" w:hAnsi="楷体_GB2312" w:eastAsia="楷体_GB2312" w:cs="楷体_GB2312"/>
                <w:color w:val="auto"/>
                <w:kern w:val="0"/>
                <w:sz w:val="21"/>
                <w:szCs w:val="21"/>
                <w:u w:color="FF0000"/>
                <w:lang w:val="en-US" w:eastAsia="zh-CN" w:bidi="ar"/>
              </w:rPr>
              <w:t>m</w:t>
            </w:r>
            <w:r>
              <w:rPr>
                <w:rFonts w:hint="eastAsia" w:ascii="楷体_GB2312" w:hAnsi="楷体_GB2312" w:eastAsia="楷体_GB2312" w:cs="楷体_GB2312"/>
                <w:color w:val="auto"/>
                <w:kern w:val="0"/>
                <w:sz w:val="21"/>
                <w:szCs w:val="21"/>
                <w:u w:color="FF0000"/>
                <w:vertAlign w:val="superscript"/>
                <w:lang w:val="en-US" w:eastAsia="zh-CN" w:bidi="ar"/>
              </w:rPr>
              <w:t>3</w:t>
            </w:r>
            <w:r>
              <w:rPr>
                <w:rFonts w:hint="eastAsia" w:ascii="楷体_GB2312" w:hAnsi="楷体_GB2312" w:eastAsia="楷体_GB2312" w:cs="楷体_GB2312"/>
                <w:color w:val="auto"/>
                <w:kern w:val="0"/>
                <w:sz w:val="21"/>
                <w:szCs w:val="21"/>
                <w:u w:color="FF0000"/>
                <w:lang w:bidi="ar"/>
              </w:rPr>
              <w:t>/min</w:t>
            </w:r>
          </w:p>
        </w:tc>
      </w:tr>
      <w:tr>
        <w:tblPrEx>
          <w:tblCellMar>
            <w:top w:w="0" w:type="dxa"/>
            <w:left w:w="108" w:type="dxa"/>
            <w:bottom w:w="0" w:type="dxa"/>
            <w:right w:w="108" w:type="dxa"/>
          </w:tblCellMar>
        </w:tblPrEx>
        <w:trPr>
          <w:trHeight w:val="624" w:hRule="atLeast"/>
          <w:jc w:val="center"/>
        </w:trPr>
        <w:tc>
          <w:tcPr>
            <w:tcW w:w="3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携</w:t>
            </w:r>
          </w:p>
          <w:p>
            <w:pPr>
              <w:widowControl/>
              <w:spacing w:line="240" w:lineRule="auto"/>
              <w:ind w:firstLine="0" w:firstLineChars="0"/>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砂</w:t>
            </w:r>
          </w:p>
          <w:p>
            <w:pPr>
              <w:widowControl/>
              <w:spacing w:line="240" w:lineRule="auto"/>
              <w:ind w:firstLine="0" w:firstLineChars="0"/>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液</w:t>
            </w:r>
          </w:p>
        </w:tc>
        <w:tc>
          <w:tcPr>
            <w:tcW w:w="3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滑</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溜</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水</w:t>
            </w:r>
            <w:r>
              <w:rPr>
                <w:rFonts w:hint="eastAsia" w:ascii="楷体_GB2312" w:hAnsi="楷体_GB2312" w:eastAsia="楷体_GB2312" w:cs="楷体_GB2312"/>
                <w:color w:val="auto"/>
                <w:kern w:val="0"/>
                <w:sz w:val="21"/>
                <w:szCs w:val="21"/>
                <w:u w:color="FF0000"/>
                <w:lang w:bidi="ar"/>
              </w:rPr>
              <w:br w:type="textWrapping"/>
            </w:r>
            <w:r>
              <w:rPr>
                <w:rFonts w:hint="eastAsia" w:ascii="楷体_GB2312" w:hAnsi="楷体_GB2312" w:eastAsia="楷体_GB2312" w:cs="楷体_GB2312"/>
                <w:color w:val="auto"/>
                <w:kern w:val="0"/>
                <w:sz w:val="21"/>
                <w:szCs w:val="21"/>
                <w:u w:color="FF0000"/>
                <w:lang w:bidi="ar"/>
              </w:rPr>
              <w:t>0.3%～0.4%</w:t>
            </w:r>
          </w:p>
        </w:tc>
        <w:tc>
          <w:tcPr>
            <w:tcW w:w="4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20</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20.4</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210.7</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w:t>
            </w:r>
          </w:p>
        </w:tc>
        <w:tc>
          <w:tcPr>
            <w:tcW w:w="4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10</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4</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70/140目石英砂</w:t>
            </w:r>
          </w:p>
        </w:tc>
      </w:tr>
      <w:tr>
        <w:tblPrEx>
          <w:tblCellMar>
            <w:top w:w="0" w:type="dxa"/>
            <w:left w:w="108" w:type="dxa"/>
            <w:bottom w:w="0" w:type="dxa"/>
            <w:right w:w="108" w:type="dxa"/>
          </w:tblCellMar>
        </w:tblPrEx>
        <w:trPr>
          <w:trHeight w:val="624"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42</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42.5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253.2</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w:t>
            </w:r>
          </w:p>
        </w:tc>
        <w:tc>
          <w:tcPr>
            <w:tcW w:w="4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12</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8.4</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70/140目石英砂</w:t>
            </w:r>
          </w:p>
        </w:tc>
      </w:tr>
      <w:tr>
        <w:tblPrEx>
          <w:tblCellMar>
            <w:top w:w="0" w:type="dxa"/>
            <w:left w:w="108" w:type="dxa"/>
            <w:bottom w:w="0" w:type="dxa"/>
            <w:right w:w="108" w:type="dxa"/>
          </w:tblCellMar>
        </w:tblPrEx>
        <w:trPr>
          <w:trHeight w:val="624"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47</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47.7</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300.9</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14</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9.4</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70/140目石英砂</w:t>
            </w:r>
          </w:p>
        </w:tc>
      </w:tr>
      <w:tr>
        <w:tblPrEx>
          <w:tblCellMar>
            <w:top w:w="0" w:type="dxa"/>
            <w:left w:w="108" w:type="dxa"/>
            <w:bottom w:w="0" w:type="dxa"/>
            <w:right w:w="108" w:type="dxa"/>
          </w:tblCellMar>
        </w:tblPrEx>
        <w:trPr>
          <w:trHeight w:val="624" w:hRule="atLeast"/>
          <w:jc w:val="center"/>
        </w:trPr>
        <w:tc>
          <w:tcPr>
            <w:tcW w:w="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40</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40.9</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341.8</w:t>
            </w:r>
          </w:p>
        </w:tc>
        <w:tc>
          <w:tcPr>
            <w:tcW w:w="4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6</w:t>
            </w:r>
          </w:p>
        </w:tc>
        <w:tc>
          <w:tcPr>
            <w:tcW w:w="4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15</w:t>
            </w: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8</w:t>
            </w:r>
          </w:p>
        </w:tc>
        <w:tc>
          <w:tcPr>
            <w:tcW w:w="7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40/70目石英砂</w:t>
            </w:r>
          </w:p>
        </w:tc>
      </w:tr>
      <w:tr>
        <w:tblPrEx>
          <w:tblCellMar>
            <w:top w:w="0" w:type="dxa"/>
            <w:left w:w="108" w:type="dxa"/>
            <w:bottom w:w="0" w:type="dxa"/>
            <w:right w:w="108" w:type="dxa"/>
          </w:tblCellMar>
        </w:tblPrEx>
        <w:trPr>
          <w:trHeight w:val="624" w:hRule="atLeast"/>
          <w:jc w:val="center"/>
        </w:trPr>
        <w:tc>
          <w:tcPr>
            <w:tcW w:w="303" w:type="pct"/>
            <w:vMerge w:val="restart"/>
            <w:tcBorders>
              <w:top w:val="single" w:color="000000" w:sz="4" w:space="0"/>
              <w:left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顶</w:t>
            </w:r>
          </w:p>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替</w:t>
            </w:r>
          </w:p>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液</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滑溜水</w:t>
            </w:r>
          </w:p>
        </w:tc>
        <w:tc>
          <w:tcPr>
            <w:tcW w:w="4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346.8</w:t>
            </w: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1</w:t>
            </w:r>
          </w:p>
        </w:tc>
        <w:tc>
          <w:tcPr>
            <w:tcW w:w="70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加KC</w:t>
            </w:r>
            <w:r>
              <w:rPr>
                <w:rFonts w:hint="eastAsia" w:ascii="楷体_GB2312" w:hAnsi="楷体_GB2312" w:eastAsia="楷体_GB2312" w:cs="楷体_GB2312"/>
                <w:color w:val="auto"/>
                <w:kern w:val="0"/>
                <w:sz w:val="21"/>
                <w:szCs w:val="21"/>
                <w:u w:color="FF0000"/>
                <w:lang w:val="en-US" w:eastAsia="zh-CN" w:bidi="ar"/>
              </w:rPr>
              <w:t>l</w:t>
            </w:r>
            <w:r>
              <w:rPr>
                <w:rFonts w:hint="eastAsia" w:ascii="楷体_GB2312" w:hAnsi="楷体_GB2312" w:eastAsia="楷体_GB2312" w:cs="楷体_GB2312"/>
                <w:color w:val="auto"/>
                <w:kern w:val="0"/>
                <w:sz w:val="21"/>
                <w:szCs w:val="21"/>
                <w:u w:color="FF0000"/>
                <w:lang w:bidi="ar"/>
              </w:rPr>
              <w:t>500kg</w:t>
            </w:r>
          </w:p>
        </w:tc>
      </w:tr>
      <w:tr>
        <w:tblPrEx>
          <w:tblCellMar>
            <w:top w:w="0" w:type="dxa"/>
            <w:left w:w="108" w:type="dxa"/>
            <w:bottom w:w="0" w:type="dxa"/>
            <w:right w:w="108" w:type="dxa"/>
          </w:tblCellMar>
        </w:tblPrEx>
        <w:trPr>
          <w:trHeight w:val="490" w:hRule="atLeast"/>
          <w:jc w:val="center"/>
        </w:trPr>
        <w:tc>
          <w:tcPr>
            <w:tcW w:w="303" w:type="pct"/>
            <w:vMerge w:val="continue"/>
            <w:tcBorders>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清水</w:t>
            </w:r>
          </w:p>
        </w:tc>
        <w:tc>
          <w:tcPr>
            <w:tcW w:w="4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35" w:type="pc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25</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371.8</w:t>
            </w: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5</w:t>
            </w:r>
          </w:p>
        </w:tc>
        <w:tc>
          <w:tcPr>
            <w:tcW w:w="70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0.6</w:t>
            </w: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r>
      <w:tr>
        <w:tblPrEx>
          <w:tblCellMar>
            <w:top w:w="0" w:type="dxa"/>
            <w:left w:w="108" w:type="dxa"/>
            <w:bottom w:w="0" w:type="dxa"/>
            <w:right w:w="108" w:type="dxa"/>
          </w:tblCellMar>
        </w:tblPrEx>
        <w:trPr>
          <w:trHeight w:val="497" w:hRule="atLeast"/>
          <w:jc w:val="center"/>
        </w:trPr>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合计</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369</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371.8</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kern w:val="0"/>
                <w:sz w:val="21"/>
                <w:szCs w:val="21"/>
                <w:u w:color="FF0000"/>
                <w:lang w:bidi="ar"/>
              </w:rPr>
              <w:t>22.9</w:t>
            </w:r>
          </w:p>
        </w:tc>
        <w:tc>
          <w:tcPr>
            <w:tcW w:w="41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46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kern w:val="0"/>
                <w:sz w:val="21"/>
                <w:szCs w:val="21"/>
                <w:u w:color="FF0000"/>
                <w:lang w:bidi="ar"/>
              </w:rPr>
            </w:pPr>
            <w:r>
              <w:rPr>
                <w:rFonts w:hint="eastAsia" w:ascii="楷体_GB2312" w:hAnsi="楷体_GB2312" w:eastAsia="楷体_GB2312" w:cs="楷体_GB2312"/>
                <w:color w:val="auto"/>
                <w:kern w:val="0"/>
                <w:sz w:val="21"/>
                <w:szCs w:val="21"/>
                <w:u w:color="FF0000"/>
                <w:lang w:bidi="ar"/>
              </w:rPr>
              <w:t>73.8</w:t>
            </w:r>
          </w:p>
        </w:tc>
        <w:tc>
          <w:tcPr>
            <w:tcW w:w="70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c>
          <w:tcPr>
            <w:tcW w:w="6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ascii="楷体_GB2312" w:hAnsi="楷体_GB2312" w:eastAsia="楷体_GB2312" w:cs="楷体_GB2312"/>
                <w:color w:val="auto"/>
                <w:sz w:val="21"/>
                <w:szCs w:val="21"/>
              </w:rPr>
            </w:pPr>
          </w:p>
        </w:tc>
      </w:tr>
      <w:tr>
        <w:tblPrEx>
          <w:tblCellMar>
            <w:top w:w="0" w:type="dxa"/>
            <w:left w:w="108" w:type="dxa"/>
            <w:bottom w:w="0" w:type="dxa"/>
            <w:right w:w="108" w:type="dxa"/>
          </w:tblCellMar>
        </w:tblPrEx>
        <w:trPr>
          <w:trHeight w:val="51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textAlignment w:val="center"/>
              <w:rPr>
                <w:rFonts w:hint="eastAsia" w:eastAsia="楷体_GB2312" w:cs="Times New Roman"/>
                <w:color w:val="auto"/>
                <w:sz w:val="21"/>
                <w:szCs w:val="21"/>
                <w:lang w:eastAsia="zh-CN"/>
              </w:rPr>
            </w:pPr>
            <w:r>
              <w:rPr>
                <w:rFonts w:hint="eastAsia" w:ascii="楷体_GB2312" w:hAnsi="楷体_GB2312" w:eastAsia="楷体_GB2312" w:cs="楷体_GB2312"/>
                <w:color w:val="auto"/>
                <w:kern w:val="0"/>
                <w:sz w:val="21"/>
                <w:szCs w:val="21"/>
                <w:u w:color="FF0000"/>
                <w:lang w:bidi="ar"/>
              </w:rPr>
              <w:t>备注：暂堵球根据裂缝监测主应力裂缝方向，调整暂堵球数量（小于射孔总数70%）</w:t>
            </w:r>
            <w:r>
              <w:rPr>
                <w:rFonts w:hint="eastAsia" w:ascii="楷体_GB2312" w:hAnsi="楷体_GB2312" w:eastAsia="楷体_GB2312" w:cs="楷体_GB2312"/>
                <w:color w:val="auto"/>
                <w:kern w:val="0"/>
                <w:sz w:val="21"/>
                <w:szCs w:val="21"/>
                <w:u w:color="FF0000"/>
                <w:lang w:eastAsia="zh-CN" w:bidi="ar"/>
              </w:rPr>
              <w:t>。</w:t>
            </w:r>
          </w:p>
        </w:tc>
      </w:tr>
    </w:tbl>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eastAsia" w:ascii="黑体" w:hAnsi="黑体" w:eastAsia="黑体" w:cs="黑体"/>
          <w:b/>
          <w:bCs/>
          <w:color w:val="auto"/>
          <w:sz w:val="28"/>
          <w:szCs w:val="28"/>
          <w:lang w:val="en-US" w:eastAsia="zh-CN"/>
        </w:rPr>
        <w:sectPr>
          <w:headerReference r:id="rId11" w:type="default"/>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28" w:name="_Toc21967"/>
      <w:r>
        <w:rPr>
          <w:rFonts w:hint="eastAsia" w:ascii="黑体" w:hAnsi="黑体" w:eastAsia="黑体" w:cs="黑体"/>
          <w:b/>
          <w:bCs/>
          <w:color w:val="auto"/>
          <w:sz w:val="28"/>
          <w:szCs w:val="28"/>
          <w:lang w:val="en-US" w:eastAsia="zh-CN"/>
        </w:rPr>
        <w:t>第五节  压裂参数</w:t>
      </w:r>
      <w:bookmarkEnd w:id="128"/>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一、压裂井场地布置</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kern w:val="2"/>
          <w:sz w:val="24"/>
          <w:szCs w:val="24"/>
          <w:lang w:val="en-US" w:eastAsia="zh-CN" w:bidi="ar-SA"/>
        </w:rPr>
      </w:pPr>
      <w:r>
        <w:rPr>
          <w:rFonts w:hint="eastAsia" w:asciiTheme="minorEastAsia" w:hAnsiTheme="minorEastAsia" w:eastAsiaTheme="minorEastAsia" w:cstheme="minorEastAsia"/>
          <w:color w:val="auto"/>
          <w:kern w:val="2"/>
          <w:sz w:val="24"/>
          <w:szCs w:val="24"/>
          <w:lang w:val="en-US" w:eastAsia="zh-CN" w:bidi="ar-SA"/>
        </w:rPr>
        <w:t>1.根据钻机级别要求，选择60m×80m的场地。</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二、钻井轨迹参数</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color w:val="auto"/>
          <w:lang w:val="en-US"/>
        </w:rPr>
      </w:pPr>
      <w:r>
        <w:rPr>
          <w:rFonts w:hint="eastAsia"/>
          <w:color w:val="auto"/>
          <w:lang w:val="en-US" w:eastAsia="zh-CN"/>
        </w:rPr>
        <w:t>（一）钻井轨迹</w:t>
      </w:r>
      <w:r>
        <w:rPr>
          <w:rFonts w:hint="eastAsia"/>
          <w:color w:val="auto"/>
          <w:lang w:val="zh-CN"/>
        </w:rPr>
        <w:t>参数（注：Z坐标点根据现场实际标高计算）。</w:t>
      </w:r>
    </w:p>
    <w:p>
      <w:pPr>
        <w:pStyle w:val="57"/>
        <w:bidi w:val="0"/>
        <w:ind w:left="0" w:leftChars="0" w:firstLine="0" w:firstLineChars="0"/>
        <w:jc w:val="both"/>
        <w:rPr>
          <w:rFonts w:hint="eastAsia" w:asciiTheme="minorEastAsia" w:hAnsiTheme="minorEastAsia" w:eastAsiaTheme="minorEastAsia" w:cstheme="minorEastAsia"/>
          <w:color w:val="auto"/>
          <w:sz w:val="24"/>
          <w:szCs w:val="24"/>
          <w:lang w:val="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2-5-1</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关键数据表</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6"/>
        <w:gridCol w:w="2360"/>
        <w:gridCol w:w="2360"/>
        <w:gridCol w:w="2362"/>
        <w:gridCol w:w="2364"/>
        <w:gridCol w:w="2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9" w:hRule="exact"/>
          <w:jc w:val="center"/>
        </w:trPr>
        <w:tc>
          <w:tcPr>
            <w:tcW w:w="832" w:type="pct"/>
            <w:tcBorders>
              <w:top w:val="single" w:color="auto" w:sz="4" w:space="0"/>
              <w:left w:val="single" w:color="auto" w:sz="4" w:space="0"/>
              <w:bottom w:val="single" w:color="auto" w:sz="4" w:space="0"/>
            </w:tcBorders>
            <w:tcMar>
              <w:left w:w="57" w:type="dxa"/>
              <w:right w:w="57" w:type="dxa"/>
            </w:tcMar>
            <w:vAlign w:val="center"/>
          </w:tcPr>
          <w:p>
            <w:pPr>
              <w:ind w:firstLine="0" w:firstLineChars="0"/>
              <w:jc w:val="center"/>
              <w:rPr>
                <w:rFonts w:hint="eastAsia" w:ascii="楷体_GB2312" w:hAnsi="楷体_GB2312" w:eastAsia="楷体_GB2312" w:cs="楷体_GB2312"/>
                <w:color w:val="auto"/>
                <w:lang w:val="zh-CN"/>
              </w:rPr>
            </w:pPr>
            <w:r>
              <w:rPr>
                <w:rFonts w:hint="eastAsia" w:ascii="楷体_GB2312" w:hAnsi="楷体_GB2312" w:eastAsia="楷体_GB2312" w:cs="楷体_GB2312"/>
                <w:color w:val="auto"/>
                <w:lang w:val="zh-CN"/>
              </w:rPr>
              <w:t>直井段深（</w:t>
            </w:r>
            <w:r>
              <w:rPr>
                <w:rFonts w:hint="eastAsia" w:ascii="楷体_GB2312" w:hAnsi="楷体_GB2312" w:eastAsia="楷体_GB2312" w:cs="楷体_GB2312"/>
                <w:color w:val="auto"/>
                <w:lang w:val="en-US" w:eastAsia="zh-CN"/>
              </w:rPr>
              <w:t>m</w:t>
            </w:r>
            <w:r>
              <w:rPr>
                <w:rFonts w:hint="eastAsia" w:ascii="楷体_GB2312" w:hAnsi="楷体_GB2312" w:eastAsia="楷体_GB2312" w:cs="楷体_GB2312"/>
                <w:color w:val="auto"/>
                <w:lang w:val="zh-CN"/>
              </w:rPr>
              <w:t>）</w:t>
            </w:r>
          </w:p>
        </w:tc>
        <w:tc>
          <w:tcPr>
            <w:tcW w:w="833" w:type="pct"/>
            <w:tcBorders>
              <w:top w:val="single" w:color="auto" w:sz="4" w:space="0"/>
              <w:bottom w:val="single" w:color="auto" w:sz="4" w:space="0"/>
            </w:tcBorders>
            <w:tcMar>
              <w:left w:w="57" w:type="dxa"/>
              <w:right w:w="57" w:type="dxa"/>
            </w:tcMar>
            <w:vAlign w:val="center"/>
          </w:tcPr>
          <w:p>
            <w:pPr>
              <w:ind w:firstLine="0" w:firstLineChars="0"/>
              <w:jc w:val="center"/>
              <w:rPr>
                <w:rFonts w:hint="eastAsia" w:ascii="楷体_GB2312" w:hAnsi="楷体_GB2312" w:eastAsia="楷体_GB2312" w:cs="楷体_GB2312"/>
                <w:color w:val="auto"/>
                <w:lang w:val="zh-CN"/>
              </w:rPr>
            </w:pPr>
            <w:r>
              <w:rPr>
                <w:rFonts w:hint="eastAsia" w:ascii="楷体_GB2312" w:hAnsi="楷体_GB2312" w:eastAsia="楷体_GB2312" w:cs="楷体_GB2312"/>
                <w:color w:val="auto"/>
                <w:lang w:val="zh-CN"/>
              </w:rPr>
              <w:t>斜井段</w:t>
            </w:r>
            <w:r>
              <w:rPr>
                <w:rFonts w:hint="eastAsia" w:ascii="楷体_GB2312" w:hAnsi="楷体_GB2312" w:eastAsia="楷体_GB2312" w:cs="楷体_GB2312"/>
                <w:color w:val="auto"/>
              </w:rPr>
              <w:t>长</w:t>
            </w:r>
            <w:r>
              <w:rPr>
                <w:rFonts w:hint="eastAsia" w:ascii="楷体_GB2312" w:hAnsi="楷体_GB2312" w:eastAsia="楷体_GB2312" w:cs="楷体_GB2312"/>
                <w:color w:val="auto"/>
                <w:lang w:val="zh-CN"/>
              </w:rPr>
              <w:t>（</w:t>
            </w:r>
            <w:r>
              <w:rPr>
                <w:rFonts w:hint="eastAsia" w:ascii="楷体_GB2312" w:hAnsi="楷体_GB2312" w:eastAsia="楷体_GB2312" w:cs="楷体_GB2312"/>
                <w:color w:val="auto"/>
                <w:lang w:val="en-US" w:eastAsia="zh-CN"/>
              </w:rPr>
              <w:t>m</w:t>
            </w:r>
            <w:r>
              <w:rPr>
                <w:rFonts w:hint="eastAsia" w:ascii="楷体_GB2312" w:hAnsi="楷体_GB2312" w:eastAsia="楷体_GB2312" w:cs="楷体_GB2312"/>
                <w:color w:val="auto"/>
                <w:lang w:val="zh-CN"/>
              </w:rPr>
              <w:t>）</w:t>
            </w:r>
          </w:p>
        </w:tc>
        <w:tc>
          <w:tcPr>
            <w:tcW w:w="833" w:type="pct"/>
            <w:tcBorders>
              <w:top w:val="single" w:color="auto" w:sz="4" w:space="0"/>
              <w:bottom w:val="single" w:color="auto" w:sz="4" w:space="0"/>
            </w:tcBorders>
            <w:tcMar>
              <w:left w:w="57" w:type="dxa"/>
              <w:right w:w="57" w:type="dxa"/>
            </w:tcMar>
            <w:vAlign w:val="center"/>
          </w:tcPr>
          <w:p>
            <w:pPr>
              <w:ind w:firstLine="0" w:firstLineChars="0"/>
              <w:jc w:val="center"/>
              <w:rPr>
                <w:rFonts w:hint="eastAsia" w:ascii="楷体_GB2312" w:hAnsi="楷体_GB2312" w:eastAsia="楷体_GB2312" w:cs="楷体_GB2312"/>
                <w:color w:val="auto"/>
                <w:lang w:val="zh-CN"/>
              </w:rPr>
            </w:pPr>
            <w:r>
              <w:rPr>
                <w:rFonts w:hint="eastAsia" w:ascii="楷体_GB2312" w:hAnsi="楷体_GB2312" w:eastAsia="楷体_GB2312" w:cs="楷体_GB2312"/>
                <w:color w:val="auto"/>
              </w:rPr>
              <w:t>水平段长</w:t>
            </w:r>
            <w:r>
              <w:rPr>
                <w:rFonts w:hint="eastAsia" w:ascii="楷体_GB2312" w:hAnsi="楷体_GB2312" w:eastAsia="楷体_GB2312" w:cs="楷体_GB2312"/>
                <w:color w:val="auto"/>
                <w:lang w:val="zh-CN"/>
              </w:rPr>
              <w:t>（</w:t>
            </w:r>
            <w:r>
              <w:rPr>
                <w:rFonts w:hint="eastAsia" w:ascii="楷体_GB2312" w:hAnsi="楷体_GB2312" w:eastAsia="楷体_GB2312" w:cs="楷体_GB2312"/>
                <w:color w:val="auto"/>
                <w:lang w:val="en-US" w:eastAsia="zh-CN"/>
              </w:rPr>
              <w:t>m</w:t>
            </w:r>
            <w:r>
              <w:rPr>
                <w:rFonts w:hint="eastAsia" w:ascii="楷体_GB2312" w:hAnsi="楷体_GB2312" w:eastAsia="楷体_GB2312" w:cs="楷体_GB2312"/>
                <w:color w:val="auto"/>
                <w:lang w:val="zh-CN"/>
              </w:rPr>
              <w:t>）</w:t>
            </w:r>
          </w:p>
        </w:tc>
        <w:tc>
          <w:tcPr>
            <w:tcW w:w="2360" w:type="dxa"/>
            <w:tcBorders>
              <w:top w:val="single" w:color="auto" w:sz="4" w:space="0"/>
              <w:bottom w:val="single" w:color="auto" w:sz="4" w:space="0"/>
            </w:tcBorders>
            <w:vAlign w:val="center"/>
          </w:tcPr>
          <w:p>
            <w:pPr>
              <w:ind w:firstLine="0" w:firstLineChars="0"/>
              <w:jc w:val="center"/>
              <w:rPr>
                <w:rFonts w:hint="eastAsia" w:ascii="楷体_GB2312" w:hAnsi="楷体_GB2312" w:eastAsia="楷体_GB2312" w:cs="楷体_GB2312"/>
                <w:color w:val="auto"/>
                <w:lang w:val="zh-CN"/>
              </w:rPr>
            </w:pPr>
            <w:r>
              <w:rPr>
                <w:rFonts w:hint="eastAsia" w:ascii="楷体_GB2312" w:hAnsi="楷体_GB2312" w:eastAsia="楷体_GB2312" w:cs="楷体_GB2312"/>
                <w:color w:val="auto"/>
                <w:lang w:val="en-US" w:eastAsia="zh-CN"/>
              </w:rPr>
              <w:t>压裂</w:t>
            </w:r>
            <w:r>
              <w:rPr>
                <w:rFonts w:hint="eastAsia" w:ascii="楷体_GB2312" w:hAnsi="楷体_GB2312" w:eastAsia="楷体_GB2312" w:cs="楷体_GB2312"/>
                <w:color w:val="auto"/>
              </w:rPr>
              <w:t>段长</w:t>
            </w:r>
            <w:r>
              <w:rPr>
                <w:rFonts w:hint="eastAsia" w:ascii="楷体_GB2312" w:hAnsi="楷体_GB2312" w:eastAsia="楷体_GB2312" w:cs="楷体_GB2312"/>
                <w:color w:val="auto"/>
                <w:lang w:val="zh-CN"/>
              </w:rPr>
              <w:t>（</w:t>
            </w:r>
            <w:r>
              <w:rPr>
                <w:rFonts w:hint="eastAsia" w:ascii="楷体_GB2312" w:hAnsi="楷体_GB2312" w:eastAsia="楷体_GB2312" w:cs="楷体_GB2312"/>
                <w:color w:val="auto"/>
                <w:lang w:val="en-US" w:eastAsia="zh-CN"/>
              </w:rPr>
              <w:t>m</w:t>
            </w:r>
            <w:r>
              <w:rPr>
                <w:rFonts w:hint="eastAsia" w:ascii="楷体_GB2312" w:hAnsi="楷体_GB2312" w:eastAsia="楷体_GB2312" w:cs="楷体_GB2312"/>
                <w:color w:val="auto"/>
                <w:lang w:val="zh-CN"/>
              </w:rPr>
              <w:t>）</w:t>
            </w:r>
          </w:p>
        </w:tc>
        <w:tc>
          <w:tcPr>
            <w:tcW w:w="2362" w:type="dxa"/>
            <w:tcBorders>
              <w:top w:val="single" w:color="auto" w:sz="4" w:space="0"/>
              <w:bottom w:val="single" w:color="auto" w:sz="4" w:space="0"/>
            </w:tcBorders>
            <w:vAlign w:val="center"/>
          </w:tcPr>
          <w:p>
            <w:pPr>
              <w:ind w:firstLine="0" w:firstLineChars="0"/>
              <w:jc w:val="center"/>
              <w:rPr>
                <w:rFonts w:hint="eastAsia" w:ascii="楷体_GB2312" w:hAnsi="楷体_GB2312" w:eastAsia="楷体_GB2312" w:cs="楷体_GB2312"/>
                <w:color w:val="auto"/>
                <w:lang w:val="zh-CN"/>
              </w:rPr>
            </w:pPr>
            <w:r>
              <w:rPr>
                <w:rFonts w:hint="eastAsia" w:ascii="楷体_GB2312" w:hAnsi="楷体_GB2312" w:eastAsia="楷体_GB2312" w:cs="楷体_GB2312"/>
                <w:color w:val="auto"/>
                <w:lang w:val="zh-CN"/>
              </w:rPr>
              <w:t>造斜点（</w:t>
            </w:r>
            <w:r>
              <w:rPr>
                <w:rFonts w:hint="eastAsia" w:ascii="楷体_GB2312" w:hAnsi="楷体_GB2312" w:eastAsia="楷体_GB2312" w:cs="楷体_GB2312"/>
                <w:color w:val="auto"/>
                <w:lang w:val="en-US" w:eastAsia="zh-CN"/>
              </w:rPr>
              <w:t>m</w:t>
            </w:r>
            <w:r>
              <w:rPr>
                <w:rFonts w:hint="eastAsia" w:ascii="楷体_GB2312" w:hAnsi="楷体_GB2312" w:eastAsia="楷体_GB2312" w:cs="楷体_GB2312"/>
                <w:color w:val="auto"/>
                <w:lang w:val="zh-CN"/>
              </w:rPr>
              <w:t>）</w:t>
            </w:r>
          </w:p>
        </w:tc>
        <w:tc>
          <w:tcPr>
            <w:tcW w:w="2362" w:type="dxa"/>
            <w:tcBorders>
              <w:top w:val="single" w:color="auto" w:sz="4" w:space="0"/>
              <w:bottom w:val="single" w:color="auto" w:sz="4" w:space="0"/>
            </w:tcBorders>
            <w:vAlign w:val="center"/>
          </w:tcPr>
          <w:p>
            <w:pPr>
              <w:ind w:firstLine="0" w:firstLineChars="0"/>
              <w:jc w:val="center"/>
              <w:rPr>
                <w:rFonts w:hint="eastAsia" w:ascii="楷体_GB2312" w:hAnsi="楷体_GB2312" w:eastAsia="楷体_GB2312" w:cs="楷体_GB2312"/>
                <w:color w:val="auto"/>
                <w:lang w:val="zh-CN"/>
              </w:rPr>
            </w:pPr>
            <w:r>
              <w:rPr>
                <w:rFonts w:hint="eastAsia" w:ascii="楷体_GB2312" w:hAnsi="楷体_GB2312" w:eastAsia="楷体_GB2312" w:cs="楷体_GB2312"/>
                <w:color w:val="auto"/>
                <w:lang w:val="zh-CN"/>
              </w:rPr>
              <w:t>最大井斜</w:t>
            </w:r>
            <w:r>
              <w:rPr>
                <w:rFonts w:hint="eastAsia" w:ascii="楷体_GB2312" w:hAnsi="楷体_GB2312" w:eastAsia="楷体_GB2312" w:cs="楷体_GB2312"/>
                <w:color w:val="auto"/>
                <w:lang w:val="en-US" w:eastAsia="zh-CN"/>
              </w:rPr>
              <w:t>(</w:t>
            </w:r>
            <w:r>
              <w:rPr>
                <w:rFonts w:hint="eastAsia" w:ascii="楷体_GB2312" w:hAnsi="楷体_GB2312" w:eastAsia="楷体_GB2312" w:cs="楷体_GB2312"/>
                <w:b w:val="0"/>
                <w:bCs/>
                <w:color w:val="auto"/>
                <w:sz w:val="21"/>
                <w:szCs w:val="21"/>
              </w:rPr>
              <w:t>deg</w:t>
            </w:r>
            <w:r>
              <w:rPr>
                <w:rFonts w:hint="eastAsia" w:ascii="楷体_GB2312" w:hAnsi="楷体_GB2312" w:eastAsia="楷体_GB2312" w:cs="楷体_GB2312"/>
                <w:color w:val="auto"/>
                <w:lang w:val="zh-CN"/>
              </w:rPr>
              <w:t>/30</w:t>
            </w:r>
            <w:r>
              <w:rPr>
                <w:rFonts w:hint="eastAsia" w:ascii="楷体_GB2312" w:hAnsi="楷体_GB2312" w:eastAsia="楷体_GB2312" w:cs="楷体_GB2312"/>
                <w:color w:val="auto"/>
                <w:lang w:val="en-US" w:eastAsia="zh-CN"/>
              </w:rPr>
              <w:t>m</w:t>
            </w:r>
            <w:r>
              <w:rPr>
                <w:rFonts w:hint="eastAsia" w:ascii="楷体_GB2312" w:hAnsi="楷体_GB2312" w:eastAsia="楷体_GB2312" w:cs="楷体_GB2312"/>
                <w:color w:val="auto"/>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exact"/>
          <w:jc w:val="center"/>
        </w:trPr>
        <w:tc>
          <w:tcPr>
            <w:tcW w:w="832" w:type="pct"/>
            <w:tcBorders>
              <w:top w:val="single" w:color="auto" w:sz="4" w:space="0"/>
              <w:left w:val="single" w:color="auto" w:sz="4" w:space="0"/>
              <w:bottom w:val="single" w:color="auto" w:sz="4" w:space="0"/>
            </w:tcBorders>
            <w:tcMar>
              <w:left w:w="57" w:type="dxa"/>
              <w:right w:w="57" w:type="dxa"/>
            </w:tcMar>
            <w:vAlign w:val="center"/>
          </w:tcPr>
          <w:p>
            <w:pPr>
              <w:ind w:firstLine="0" w:firstLineChars="0"/>
              <w:jc w:val="center"/>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300</w:t>
            </w:r>
          </w:p>
        </w:tc>
        <w:tc>
          <w:tcPr>
            <w:tcW w:w="833" w:type="pct"/>
            <w:tcBorders>
              <w:top w:val="single" w:color="auto" w:sz="4" w:space="0"/>
              <w:bottom w:val="single" w:color="auto" w:sz="4" w:space="0"/>
            </w:tcBorders>
            <w:tcMar>
              <w:left w:w="57" w:type="dxa"/>
              <w:right w:w="57" w:type="dxa"/>
            </w:tcMar>
            <w:vAlign w:val="center"/>
          </w:tcPr>
          <w:p>
            <w:pPr>
              <w:ind w:firstLine="0" w:firstLineChars="0"/>
              <w:jc w:val="center"/>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590</w:t>
            </w:r>
          </w:p>
        </w:tc>
        <w:tc>
          <w:tcPr>
            <w:tcW w:w="833" w:type="pct"/>
            <w:tcBorders>
              <w:top w:val="single" w:color="auto" w:sz="4" w:space="0"/>
              <w:bottom w:val="single" w:color="auto" w:sz="4" w:space="0"/>
            </w:tcBorders>
            <w:tcMar>
              <w:left w:w="57" w:type="dxa"/>
              <w:right w:w="57" w:type="dxa"/>
            </w:tcMar>
            <w:vAlign w:val="center"/>
          </w:tcPr>
          <w:p>
            <w:pPr>
              <w:ind w:firstLine="0" w:firstLineChars="0"/>
              <w:jc w:val="center"/>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1010</w:t>
            </w:r>
          </w:p>
        </w:tc>
        <w:tc>
          <w:tcPr>
            <w:tcW w:w="2360" w:type="dxa"/>
            <w:tcBorders>
              <w:top w:val="single" w:color="auto" w:sz="4" w:space="0"/>
              <w:bottom w:val="single" w:color="auto" w:sz="4" w:space="0"/>
            </w:tcBorders>
            <w:vAlign w:val="center"/>
          </w:tcPr>
          <w:p>
            <w:pPr>
              <w:ind w:firstLine="0" w:firstLineChars="0"/>
              <w:jc w:val="center"/>
              <w:rPr>
                <w:rFonts w:hint="eastAsia"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935</w:t>
            </w:r>
          </w:p>
        </w:tc>
        <w:tc>
          <w:tcPr>
            <w:tcW w:w="2362" w:type="dxa"/>
            <w:tcBorders>
              <w:top w:val="single" w:color="auto" w:sz="4" w:space="0"/>
              <w:bottom w:val="single" w:color="auto" w:sz="4" w:space="0"/>
            </w:tcBorders>
            <w:vAlign w:val="center"/>
          </w:tcPr>
          <w:p>
            <w:pPr>
              <w:ind w:firstLine="0" w:firstLineChars="0"/>
              <w:jc w:val="center"/>
              <w:rPr>
                <w:rFonts w:hint="eastAsia" w:ascii="楷体_GB2312" w:hAnsi="楷体_GB2312" w:eastAsia="楷体_GB2312" w:cs="楷体_GB2312"/>
                <w:color w:val="auto"/>
                <w:lang w:val="zh-CN"/>
              </w:rPr>
            </w:pPr>
            <w:r>
              <w:rPr>
                <w:rFonts w:hint="eastAsia" w:ascii="楷体_GB2312" w:hAnsi="楷体_GB2312" w:eastAsia="楷体_GB2312" w:cs="楷体_GB2312"/>
                <w:color w:val="auto"/>
                <w:lang w:val="en-US" w:eastAsia="zh-CN"/>
              </w:rPr>
              <w:t>300</w:t>
            </w:r>
          </w:p>
        </w:tc>
        <w:tc>
          <w:tcPr>
            <w:tcW w:w="2362" w:type="dxa"/>
            <w:tcBorders>
              <w:top w:val="single" w:color="auto" w:sz="4" w:space="0"/>
              <w:bottom w:val="single" w:color="auto" w:sz="4" w:space="0"/>
            </w:tcBorders>
            <w:vAlign w:val="center"/>
          </w:tcPr>
          <w:p>
            <w:pPr>
              <w:ind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6</w:t>
            </w:r>
          </w:p>
        </w:tc>
      </w:tr>
    </w:tbl>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2-5-2</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钻井剖面数据</w:t>
      </w:r>
    </w:p>
    <w:tbl>
      <w:tblPr>
        <w:tblStyle w:val="25"/>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2"/>
        <w:gridCol w:w="992"/>
        <w:gridCol w:w="1124"/>
        <w:gridCol w:w="1124"/>
        <w:gridCol w:w="1254"/>
        <w:gridCol w:w="1124"/>
        <w:gridCol w:w="1124"/>
        <w:gridCol w:w="1522"/>
        <w:gridCol w:w="1254"/>
        <w:gridCol w:w="1653"/>
        <w:gridCol w:w="1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tcBorders>
              <w:tl2br w:val="nil"/>
            </w:tcBorders>
            <w:shd w:val="clear" w:color="auto" w:fill="FFFFFF"/>
            <w:noWrap w:val="0"/>
            <w:vAlign w:val="center"/>
          </w:tcPr>
          <w:p>
            <w:pPr>
              <w:jc w:val="center"/>
              <w:rPr>
                <w:rFonts w:hint="eastAsia" w:ascii="楷体_GB2312" w:hAnsi="楷体_GB2312" w:eastAsia="楷体_GB2312" w:cs="楷体_GB2312"/>
                <w:b w:val="0"/>
                <w:bCs/>
                <w:color w:val="auto"/>
                <w:sz w:val="21"/>
                <w:szCs w:val="21"/>
              </w:rPr>
            </w:pPr>
            <w:bookmarkStart w:id="129" w:name="SurveyDataTable"/>
            <w:r>
              <w:rPr>
                <w:rFonts w:hint="eastAsia" w:ascii="楷体_GB2312" w:hAnsi="楷体_GB2312" w:eastAsia="楷体_GB2312" w:cs="楷体_GB2312"/>
                <w:b w:val="0"/>
                <w:bCs/>
                <w:color w:val="auto"/>
                <w:sz w:val="21"/>
                <w:szCs w:val="21"/>
              </w:rPr>
              <w:t>测深</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(m)</w:t>
            </w:r>
          </w:p>
        </w:tc>
        <w:tc>
          <w:tcPr>
            <w:tcW w:w="993"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井斜</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(deg)</w:t>
            </w:r>
          </w:p>
        </w:tc>
        <w:tc>
          <w:tcPr>
            <w:tcW w:w="1124"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网格方位</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(deg)</w:t>
            </w:r>
          </w:p>
        </w:tc>
        <w:tc>
          <w:tcPr>
            <w:tcW w:w="1124"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垂深</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(m)</w:t>
            </w:r>
          </w:p>
        </w:tc>
        <w:tc>
          <w:tcPr>
            <w:tcW w:w="1254"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闭合距</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(m)</w:t>
            </w:r>
          </w:p>
        </w:tc>
        <w:tc>
          <w:tcPr>
            <w:tcW w:w="1124"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闭合方位</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(deg)</w:t>
            </w:r>
          </w:p>
        </w:tc>
        <w:tc>
          <w:tcPr>
            <w:tcW w:w="1124"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视平移</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(m)</w:t>
            </w:r>
          </w:p>
        </w:tc>
        <w:tc>
          <w:tcPr>
            <w:tcW w:w="1522"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狗腿度</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(deg/30m)</w:t>
            </w:r>
          </w:p>
        </w:tc>
        <w:tc>
          <w:tcPr>
            <w:tcW w:w="1254"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lang w:val="en-US" w:eastAsia="zh-CN"/>
              </w:rPr>
              <w:t>标高</w:t>
            </w:r>
            <w:r>
              <w:rPr>
                <w:rFonts w:hint="eastAsia" w:ascii="楷体_GB2312" w:hAnsi="楷体_GB2312" w:eastAsia="楷体_GB2312" w:cs="楷体_GB2312"/>
                <w:b w:val="0"/>
                <w:bCs/>
                <w:color w:val="auto"/>
                <w:sz w:val="21"/>
                <w:szCs w:val="21"/>
              </w:rPr>
              <w:t>(m)</w:t>
            </w:r>
          </w:p>
        </w:tc>
        <w:tc>
          <w:tcPr>
            <w:tcW w:w="1653"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大地北</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(m)</w:t>
            </w:r>
          </w:p>
        </w:tc>
        <w:tc>
          <w:tcPr>
            <w:tcW w:w="1786" w:type="dxa"/>
            <w:shd w:val="clear" w:color="auto" w:fill="FFFFFF"/>
            <w:noWrap w:val="0"/>
            <w:vAlign w:val="center"/>
          </w:tcPr>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大地东</w:t>
            </w:r>
          </w:p>
          <w:p>
            <w:pPr>
              <w:jc w:val="center"/>
              <w:rPr>
                <w:rFonts w:hint="eastAsia" w:ascii="楷体_GB2312" w:hAnsi="楷体_GB2312" w:eastAsia="楷体_GB2312" w:cs="楷体_GB2312"/>
                <w:b w:val="0"/>
                <w:bCs/>
                <w:color w:val="auto"/>
                <w:sz w:val="21"/>
                <w:szCs w:val="21"/>
              </w:rPr>
            </w:pPr>
            <w:r>
              <w:rPr>
                <w:rFonts w:hint="eastAsia" w:ascii="楷体_GB2312" w:hAnsi="楷体_GB2312" w:eastAsia="楷体_GB2312" w:cs="楷体_GB2312"/>
                <w:b w:val="0"/>
                <w:bCs/>
                <w:color w:val="auto"/>
                <w:sz w:val="21"/>
                <w:szCs w:val="21"/>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1800.00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1770.00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1740.00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1710.00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1680.00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1650.00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1620.00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210.00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210.00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1590.00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1560.00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270.00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270.00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1530.00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1500.00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4057446.53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330.00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329.96</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0.82</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1470.04</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4057447.35</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35504811.03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360.00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9.87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359.70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5.16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3.27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1440.30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4057449.80</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35504808.04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390.00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14.81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389.00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7.33</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1411.00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4057453.86</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35504803.08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420.00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19.74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417.64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20.47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12.98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1382.36</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4057459.51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35504796.19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24.68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445.40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31.81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20.16</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1354.60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4057466.69</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35504787.43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480.00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29.62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472.09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45.50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28.83</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1327.91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4057475.36</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35504776.84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510.00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34.55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497.50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61.43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38.93</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1302.50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4057485.46</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35504764.52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540.00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39.49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521.45</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79.48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50.38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1278.55</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4057496.91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35504750.55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570.00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44.43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543.75</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99.53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63.08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1256.25</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4057509.61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35504735.04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600.00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564.24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121.43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76.96</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1235.76</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4057523.49</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35504718.10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630.00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54.30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582.78</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145.01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91.90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1217.22</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4057538.44</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35504699.86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660.00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59.23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599.21</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170.09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107.80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1200.79</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4057554.33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35504680.46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690.00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64.17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613.43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196.50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124.54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1186.57</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4057571.07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35504660.04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720.00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69.11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625.32</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224.03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141.99</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1174.68</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4057588.52</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35504638.74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750.00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74.04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634.80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252.49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160.02</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1165.20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4057606.55</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35504616.73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780.00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78.98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641.80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281.65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178.51</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1158.20</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4057625.04</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35504594.17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810.00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83.91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646.26</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311.31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197.30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1153.74</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4057643.83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35504571.23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820.85</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85.70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647.24</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322.11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204.15</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4.95</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1152.76</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4057650.68</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35504562.87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840.00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86.82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306.38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648.49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341.21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309.25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215.87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1151.51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4057662.41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35504547.79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870.00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88.59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301.77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649.69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371.07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308.83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232.66</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1150.31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4057679.19</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35504522.97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893.79</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394.58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308.30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244.54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4.93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4057691.07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35504502.36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400.70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308.14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247.46</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4057693.99</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35504496.88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930.00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430.27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307.44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261.60</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4057708.13</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35504470.42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960.00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459.90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306.84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275.74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4057722.27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35504443.96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990.00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489.57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306.31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289.88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4057736.41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35504417.50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1020.00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519.29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305.84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304.02</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4057750.55</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35504391.04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1027.63</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526.85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305.72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307.62</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4057754.15</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35504384.32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1050.00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296.33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548.98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305.38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317.85</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4057764.38</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35504364.42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1080.00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293.93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578.52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304.85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330.59</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4057777.12</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35504337.27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1110.00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291.52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607.89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304.26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342.18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2.41</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4057788.71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35504309.60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1120.28</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617.90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304.04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345.88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2.39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4057792.41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35504300.01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1140.00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637.10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303.63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352.85</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4057799.38</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35504281.56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1146.18</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643.13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303.51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4057801.57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35504275.78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1170.00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293.06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666.48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303.09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363.91</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2.97</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4057810.44</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35504253.68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1200.00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296.03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696.15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302.73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376.37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2.97</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4057822.90</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35504226.39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1230.00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726.03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302.51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390.23</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2.97</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4057836.76</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35504199.79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1240.06</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736.08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302.47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395.18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4057841.72</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35504191.03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1260.00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756.00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302.42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405.26</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1.05</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4057851.79</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35504173.82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1268.50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764.50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302.40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409.62</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1.06</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4057856.15</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35504166.53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1290.00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298.34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785.98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302.32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420.26</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3.71</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4057866.79</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35504147.85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1317.00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812.85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302.14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432.38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3.71</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4057878.91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35504123.72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1320.00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295.14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815.82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302.11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433.65</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4057880.18</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35504121.01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1350.00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296.56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845.65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301.89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446.73</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1.42</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4057893.26</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35504094.01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1380.00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297.99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875.55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301.73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460.48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4057907.01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35504067.34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1410.00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299.41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905.51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301.63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474.88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1.42</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4057921.41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35504041.03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1440.00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300.83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935.50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301.58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489.94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1.42</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4057936.47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35504015.08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1470.00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302.25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965.50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301.58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505.63</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1.42</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4057952.16</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35503989.51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303.67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995.49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301.62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521.95</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1.42</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4057968.48</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35503964.34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1528.00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305.00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1023.46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537.74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1.43</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4057984.27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35503941.22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1530.00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304.70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1025.46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538.89</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4057985.42</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35503939.58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1560.00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300.20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1055.45</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301.72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554.98</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4058001.51</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35503914.27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1590.00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295.70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1085.38</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301.62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569.04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4058015.57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35503887.78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1620.00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291.20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1115.07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301.40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580.97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4058027.50</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35503860.26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1628.00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1122.93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301.32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583.79</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4058030.32</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35503852.77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1650.00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1144.51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301.11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591.31</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4058037.84</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35503832.10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1680.00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1173.96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300.83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601.57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4058048.10</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35503803.91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1710.00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1203.44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300.56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611.83</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4058058.36</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35503775.72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1728.00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1221.14</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300.40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617.99</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4058064.52</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35503758.81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1740.00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290.60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1232.96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300.30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622.15</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4058068.68</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35503747.55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1770.00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292.10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1262.60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300.09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633.07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4058079.60</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35503719.61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1800.00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293.60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1292.37</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299.93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644.72</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4058091.25</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35503691.97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1828.00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1320.23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299.81</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656.24</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1.50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4058102.77</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35503666.45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1830.00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1322.23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299.80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657.09</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4058103.62</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35503664.63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1860.00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1352.12</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299.69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669.77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4058116.30</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35503637.45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1890.00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1382.03</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299.59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682.45</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4058128.98</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35503610.26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1900.00</w:t>
            </w:r>
          </w:p>
        </w:tc>
        <w:tc>
          <w:tcPr>
            <w:tcW w:w="99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90.00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295.00</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649.99</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1391.99</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299.56</w:t>
            </w:r>
          </w:p>
        </w:tc>
        <w:tc>
          <w:tcPr>
            <w:tcW w:w="112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686.67</w:t>
            </w:r>
          </w:p>
        </w:tc>
        <w:tc>
          <w:tcPr>
            <w:tcW w:w="1522"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0.00</w:t>
            </w:r>
          </w:p>
        </w:tc>
        <w:tc>
          <w:tcPr>
            <w:tcW w:w="1254"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1150.01</w:t>
            </w:r>
          </w:p>
        </w:tc>
        <w:tc>
          <w:tcPr>
            <w:tcW w:w="1653"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4058133.20</w:t>
            </w:r>
          </w:p>
        </w:tc>
        <w:tc>
          <w:tcPr>
            <w:tcW w:w="1786" w:type="dxa"/>
            <w:shd w:val="clear" w:color="auto" w:fill="FFFFFF"/>
            <w:noWrap w:val="0"/>
            <w:vAlign w:val="top"/>
          </w:tcPr>
          <w:p>
            <w:pPr>
              <w:jc w:val="center"/>
              <w:rPr>
                <w:rFonts w:hint="eastAsia" w:ascii="楷体_GB2312" w:hAnsi="楷体_GB2312" w:eastAsia="楷体_GB2312" w:cs="楷体_GB2312"/>
                <w:b w:val="0"/>
                <w:color w:val="auto"/>
                <w:sz w:val="21"/>
                <w:szCs w:val="21"/>
              </w:rPr>
            </w:pPr>
            <w:r>
              <w:rPr>
                <w:rFonts w:hint="eastAsia" w:ascii="楷体_GB2312" w:hAnsi="楷体_GB2312" w:eastAsia="楷体_GB2312" w:cs="楷体_GB2312"/>
                <w:color w:val="auto"/>
                <w:sz w:val="21"/>
                <w:szCs w:val="21"/>
              </w:rPr>
              <w:t>35503601.19</w:t>
            </w:r>
          </w:p>
        </w:tc>
      </w:tr>
      <w:bookmarkEnd w:id="129"/>
    </w:tbl>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color w:val="auto"/>
          <w:lang w:val="zh-CN"/>
        </w:rPr>
        <w:sectPr>
          <w:headerReference r:id="rId12" w:type="default"/>
          <w:pgSz w:w="16838" w:h="11906" w:orient="landscape"/>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color w:val="auto"/>
          <w:lang w:val="zh-CN" w:eastAsia="zh-CN"/>
        </w:rPr>
      </w:pPr>
      <w:r>
        <w:rPr>
          <w:rFonts w:hint="eastAsia"/>
          <w:color w:val="auto"/>
          <w:lang w:val="zh-CN"/>
        </w:rPr>
        <w:t>（</w:t>
      </w:r>
      <w:r>
        <w:rPr>
          <w:rFonts w:hint="eastAsia"/>
          <w:color w:val="auto"/>
          <w:lang w:val="en-US" w:eastAsia="zh-CN"/>
        </w:rPr>
        <w:t>二</w:t>
      </w:r>
      <w:r>
        <w:rPr>
          <w:rFonts w:hint="eastAsia"/>
          <w:color w:val="auto"/>
          <w:lang w:val="zh-CN"/>
        </w:rPr>
        <w:t>）井身结构</w:t>
      </w:r>
      <w:r>
        <w:rPr>
          <w:rFonts w:hint="eastAsia"/>
          <w:color w:val="auto"/>
          <w:lang w:val="en-US" w:eastAsia="zh-CN"/>
        </w:rPr>
        <w:t>及</w:t>
      </w:r>
      <w:r>
        <w:rPr>
          <w:rFonts w:hint="eastAsia"/>
          <w:color w:val="auto"/>
          <w:lang w:val="zh-CN" w:eastAsia="zh-CN"/>
        </w:rPr>
        <w:t>钻井技术参数</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color w:val="auto"/>
          <w:lang w:val="en-US" w:eastAsia="zh-CN"/>
        </w:rPr>
      </w:pPr>
      <w:r>
        <w:rPr>
          <w:rFonts w:hint="eastAsia"/>
          <w:color w:val="auto"/>
          <w:lang w:val="en-US" w:eastAsia="zh-CN"/>
        </w:rPr>
        <w:t>1.</w:t>
      </w:r>
      <w:r>
        <w:rPr>
          <w:rFonts w:hint="eastAsia"/>
          <w:color w:val="auto"/>
          <w:lang w:val="zh-CN"/>
        </w:rPr>
        <w:t>井身结构</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color w:val="auto"/>
          <w:lang w:val="zh-CN"/>
        </w:rPr>
      </w:pPr>
      <w:r>
        <w:rPr>
          <w:rFonts w:hint="eastAsia"/>
          <w:color w:val="auto"/>
          <w:lang w:val="zh-CN"/>
        </w:rPr>
        <w:t>一开采用Φ</w:t>
      </w:r>
      <w:r>
        <w:rPr>
          <w:rFonts w:hint="eastAsia"/>
          <w:color w:val="auto"/>
        </w:rPr>
        <w:t>311.15</w:t>
      </w:r>
      <w:r>
        <w:rPr>
          <w:rFonts w:hint="eastAsia"/>
          <w:color w:val="auto"/>
          <w:lang w:val="zh-CN"/>
        </w:rPr>
        <w:t>mm钻头完钻,下入套管Φ244.5×8.94mm</w:t>
      </w:r>
      <w:r>
        <w:rPr>
          <w:rFonts w:hint="eastAsia"/>
          <w:color w:val="auto"/>
        </w:rPr>
        <w:t>表层套管</w:t>
      </w:r>
      <w:r>
        <w:rPr>
          <w:rFonts w:hint="eastAsia"/>
          <w:color w:val="auto"/>
          <w:lang w:val="zh-CN"/>
        </w:rPr>
        <w:t>；钢级为J55，壁厚为8.9</w:t>
      </w:r>
      <w:r>
        <w:rPr>
          <w:rFonts w:hint="eastAsia"/>
          <w:color w:val="auto"/>
          <w:lang w:val="en-US" w:eastAsia="zh-CN"/>
        </w:rPr>
        <w:t>4</w:t>
      </w:r>
      <w:r>
        <w:rPr>
          <w:rFonts w:hint="eastAsia"/>
          <w:color w:val="auto"/>
          <w:lang w:val="zh-CN"/>
        </w:rPr>
        <w:t>mm。</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color w:val="auto"/>
          <w:lang w:val="zh-CN"/>
        </w:rPr>
      </w:pPr>
      <w:r>
        <w:rPr>
          <w:rFonts w:hint="eastAsia"/>
          <w:color w:val="auto"/>
          <w:lang w:val="zh-CN"/>
        </w:rPr>
        <w:t>二开采用Ф215.9mm钻头</w:t>
      </w:r>
      <w:r>
        <w:rPr>
          <w:rFonts w:hint="eastAsia"/>
          <w:color w:val="auto"/>
        </w:rPr>
        <w:t>完钻</w:t>
      </w:r>
      <w:r>
        <w:rPr>
          <w:rFonts w:hint="eastAsia"/>
          <w:color w:val="auto"/>
          <w:lang w:val="zh-CN"/>
        </w:rPr>
        <w:t>，下入套管Φ139.7×7.72mm生产套管，钢级为N80，壁厚为7.72mm。</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color w:val="auto"/>
        </w:rPr>
      </w:pPr>
      <w:r>
        <w:rPr>
          <w:rFonts w:hint="eastAsia"/>
          <w:color w:val="auto"/>
        </w:rPr>
        <w:t>套管下入1</w:t>
      </w:r>
      <w:r>
        <w:rPr>
          <w:rFonts w:hint="eastAsia"/>
          <w:color w:val="auto"/>
          <w:lang w:val="en-US" w:eastAsia="zh-CN"/>
        </w:rPr>
        <w:t>850</w:t>
      </w:r>
      <w:r>
        <w:rPr>
          <w:rFonts w:hint="eastAsia"/>
          <w:color w:val="auto"/>
        </w:rPr>
        <w:t>m，井底预留</w:t>
      </w:r>
      <w:r>
        <w:rPr>
          <w:rFonts w:hint="eastAsia"/>
          <w:color w:val="auto"/>
          <w:lang w:val="en-US" w:eastAsia="zh-CN"/>
        </w:rPr>
        <w:t>50</w:t>
      </w:r>
      <w:r>
        <w:rPr>
          <w:rFonts w:hint="eastAsia"/>
          <w:color w:val="auto"/>
        </w:rPr>
        <w:t>m水平段沉沙空间，防止下套管发生粘、卡事故。</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2-5-3                            </w:t>
      </w:r>
      <w:r>
        <w:rPr>
          <w:rFonts w:hint="eastAsia" w:ascii="楷体_GB2312" w:hAnsi="楷体_GB2312" w:eastAsia="楷体_GB2312" w:cs="楷体_GB2312"/>
          <w:color w:val="auto"/>
          <w:lang w:val="zh-CN" w:eastAsia="zh-CN"/>
        </w:rPr>
        <w:t>套管技术要求</w:t>
      </w:r>
    </w:p>
    <w:tbl>
      <w:tblPr>
        <w:tblStyle w:val="2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1"/>
        <w:gridCol w:w="1022"/>
        <w:gridCol w:w="948"/>
        <w:gridCol w:w="977"/>
        <w:gridCol w:w="1173"/>
        <w:gridCol w:w="1158"/>
        <w:gridCol w:w="1158"/>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84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套  管</w:t>
            </w:r>
          </w:p>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程  序</w:t>
            </w:r>
          </w:p>
        </w:tc>
        <w:tc>
          <w:tcPr>
            <w:tcW w:w="550"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尺寸(mm)</w:t>
            </w:r>
          </w:p>
        </w:tc>
        <w:tc>
          <w:tcPr>
            <w:tcW w:w="510"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钢级</w:t>
            </w:r>
          </w:p>
        </w:tc>
        <w:tc>
          <w:tcPr>
            <w:tcW w:w="52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壁厚</w:t>
            </w:r>
          </w:p>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(mm)</w:t>
            </w:r>
          </w:p>
        </w:tc>
        <w:tc>
          <w:tcPr>
            <w:tcW w:w="631"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下入深度 (m)</w:t>
            </w:r>
          </w:p>
        </w:tc>
        <w:tc>
          <w:tcPr>
            <w:tcW w:w="623"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抗内压（MPa）</w:t>
            </w:r>
          </w:p>
        </w:tc>
        <w:tc>
          <w:tcPr>
            <w:tcW w:w="623"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抗挤毁（MPa）</w:t>
            </w:r>
          </w:p>
        </w:tc>
        <w:tc>
          <w:tcPr>
            <w:tcW w:w="68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水泥返高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84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一开表层套管</w:t>
            </w:r>
          </w:p>
        </w:tc>
        <w:tc>
          <w:tcPr>
            <w:tcW w:w="550"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244.5</w:t>
            </w:r>
          </w:p>
        </w:tc>
        <w:tc>
          <w:tcPr>
            <w:tcW w:w="510"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J55</w:t>
            </w:r>
          </w:p>
        </w:tc>
        <w:tc>
          <w:tcPr>
            <w:tcW w:w="526" w:type="pct"/>
            <w:vAlign w:val="center"/>
          </w:tcPr>
          <w:p>
            <w:pPr>
              <w:pStyle w:val="8"/>
              <w:ind w:left="0" w:leftChars="0" w:firstLine="0" w:firstLineChars="0"/>
              <w:jc w:val="center"/>
              <w:rPr>
                <w:rFonts w:hint="eastAsia" w:ascii="楷体_GB2312" w:hAnsi="楷体_GB2312" w:eastAsia="楷体_GB2312" w:cs="楷体_GB2312"/>
                <w:color w:val="auto"/>
                <w:lang w:eastAsia="zh-CN"/>
              </w:rPr>
            </w:pPr>
            <w:r>
              <w:rPr>
                <w:rFonts w:hint="eastAsia" w:ascii="楷体_GB2312" w:hAnsi="楷体_GB2312" w:eastAsia="楷体_GB2312" w:cs="楷体_GB2312"/>
                <w:color w:val="auto"/>
              </w:rPr>
              <w:t>8.9</w:t>
            </w:r>
            <w:r>
              <w:rPr>
                <w:rFonts w:hint="eastAsia" w:ascii="楷体_GB2312" w:hAnsi="楷体_GB2312" w:eastAsia="楷体_GB2312" w:cs="楷体_GB2312"/>
                <w:color w:val="auto"/>
                <w:lang w:val="en-US" w:eastAsia="zh-CN"/>
              </w:rPr>
              <w:t>4</w:t>
            </w:r>
          </w:p>
        </w:tc>
        <w:tc>
          <w:tcPr>
            <w:tcW w:w="631"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60</w:t>
            </w:r>
          </w:p>
        </w:tc>
        <w:tc>
          <w:tcPr>
            <w:tcW w:w="623"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52.3</w:t>
            </w:r>
          </w:p>
        </w:tc>
        <w:tc>
          <w:tcPr>
            <w:tcW w:w="623"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48.6</w:t>
            </w:r>
          </w:p>
        </w:tc>
        <w:tc>
          <w:tcPr>
            <w:tcW w:w="68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地面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84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二开生产套管</w:t>
            </w:r>
          </w:p>
        </w:tc>
        <w:tc>
          <w:tcPr>
            <w:tcW w:w="550"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139.7</w:t>
            </w:r>
          </w:p>
        </w:tc>
        <w:tc>
          <w:tcPr>
            <w:tcW w:w="510"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N80</w:t>
            </w:r>
          </w:p>
        </w:tc>
        <w:tc>
          <w:tcPr>
            <w:tcW w:w="52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7.72</w:t>
            </w:r>
          </w:p>
        </w:tc>
        <w:tc>
          <w:tcPr>
            <w:tcW w:w="631" w:type="pct"/>
            <w:vAlign w:val="center"/>
          </w:tcPr>
          <w:p>
            <w:pPr>
              <w:pStyle w:val="8"/>
              <w:ind w:left="0" w:leftChars="0" w:firstLine="0" w:firstLineChars="0"/>
              <w:jc w:val="center"/>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en-US" w:eastAsia="zh-CN"/>
              </w:rPr>
              <w:t>1850</w:t>
            </w:r>
          </w:p>
        </w:tc>
        <w:tc>
          <w:tcPr>
            <w:tcW w:w="623"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73.4</w:t>
            </w:r>
          </w:p>
        </w:tc>
        <w:tc>
          <w:tcPr>
            <w:tcW w:w="623"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51.6</w:t>
            </w:r>
          </w:p>
        </w:tc>
        <w:tc>
          <w:tcPr>
            <w:tcW w:w="686" w:type="pct"/>
            <w:vAlign w:val="center"/>
          </w:tcPr>
          <w:p>
            <w:pPr>
              <w:pStyle w:val="8"/>
              <w:ind w:left="0" w:leftChars="0" w:firstLine="0" w:firstLineChars="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地面</w:t>
            </w:r>
          </w:p>
        </w:tc>
      </w:tr>
    </w:tbl>
    <w:p>
      <w:pPr>
        <w:pStyle w:val="57"/>
        <w:keepNext w:val="0"/>
        <w:keepLines w:val="0"/>
        <w:pageBreakBefore w:val="0"/>
        <w:widowControl w:val="0"/>
        <w:kinsoku/>
        <w:wordWrap/>
        <w:overflowPunct/>
        <w:topLinePunct w:val="0"/>
        <w:autoSpaceDE/>
        <w:autoSpaceDN/>
        <w:bidi w:val="0"/>
        <w:adjustRightInd/>
        <w:snapToGrid/>
        <w:textAlignment w:val="auto"/>
        <w:rPr>
          <w:rFonts w:hint="eastAsia"/>
          <w:color w:val="auto"/>
          <w:lang w:val="zh-CN" w:eastAsia="zh-CN"/>
        </w:rPr>
      </w:pPr>
      <w:bookmarkStart w:id="130" w:name="_Toc200569883"/>
      <w:r>
        <w:rPr>
          <w:rFonts w:hint="eastAsia"/>
          <w:color w:val="auto"/>
          <w:lang w:val="en-US" w:eastAsia="zh-CN"/>
        </w:rPr>
        <w:t>2.</w:t>
      </w:r>
      <w:r>
        <w:rPr>
          <w:rFonts w:hint="eastAsia"/>
          <w:color w:val="auto"/>
          <w:lang w:val="zh-CN" w:eastAsia="zh-CN"/>
        </w:rPr>
        <w:t>钻井技术参数</w:t>
      </w:r>
      <w:bookmarkEnd w:id="130"/>
    </w:p>
    <w:p>
      <w:pPr>
        <w:pStyle w:val="57"/>
        <w:keepNext w:val="0"/>
        <w:keepLines w:val="0"/>
        <w:pageBreakBefore w:val="0"/>
        <w:widowControl w:val="0"/>
        <w:kinsoku/>
        <w:wordWrap/>
        <w:overflowPunct/>
        <w:topLinePunct w:val="0"/>
        <w:autoSpaceDE/>
        <w:autoSpaceDN/>
        <w:bidi w:val="0"/>
        <w:adjustRightInd/>
        <w:snapToGrid/>
        <w:textAlignment w:val="auto"/>
        <w:rPr>
          <w:rFonts w:hint="eastAsia"/>
          <w:color w:val="auto"/>
          <w:lang w:val="zh-CN"/>
        </w:rPr>
      </w:pPr>
      <w:r>
        <w:rPr>
          <w:rFonts w:hint="eastAsia"/>
          <w:color w:val="auto"/>
          <w:lang w:val="zh-CN"/>
        </w:rPr>
        <w:t>钻井</w:t>
      </w:r>
      <w:r>
        <w:rPr>
          <w:rFonts w:hint="eastAsia"/>
          <w:color w:val="auto"/>
          <w:lang w:val="zh-CN" w:eastAsia="zh-CN"/>
        </w:rPr>
        <w:t>技术</w:t>
      </w:r>
      <w:r>
        <w:rPr>
          <w:rFonts w:hint="eastAsia"/>
          <w:color w:val="auto"/>
          <w:lang w:val="zh-CN"/>
        </w:rPr>
        <w:t>参数主要是指钻压、转数、泥浆循环量等参数，工艺参数的选择，影响到钻进效率和钻</w:t>
      </w:r>
      <w:r>
        <w:rPr>
          <w:rFonts w:hint="eastAsia"/>
          <w:color w:val="auto"/>
          <w:lang w:val="en-US" w:eastAsia="zh-CN"/>
        </w:rPr>
        <w:t>井</w:t>
      </w:r>
      <w:r>
        <w:rPr>
          <w:rFonts w:hint="eastAsia"/>
          <w:color w:val="auto"/>
          <w:lang w:val="zh-CN"/>
        </w:rPr>
        <w:t>质量。施工中采用三牙轮钻头钻进</w:t>
      </w:r>
      <w:r>
        <w:rPr>
          <w:rFonts w:hint="eastAsia"/>
          <w:color w:val="auto"/>
          <w:lang w:val="zh-CN" w:eastAsia="zh-CN"/>
        </w:rPr>
        <w:t>技术</w:t>
      </w:r>
      <w:r>
        <w:rPr>
          <w:rFonts w:hint="eastAsia"/>
          <w:color w:val="auto"/>
          <w:lang w:val="zh-CN"/>
        </w:rPr>
        <w:t>参数为：中钻压、大排量、中低转速。</w:t>
      </w:r>
    </w:p>
    <w:p>
      <w:pPr>
        <w:pStyle w:val="57"/>
        <w:keepNext w:val="0"/>
        <w:keepLines w:val="0"/>
        <w:pageBreakBefore w:val="0"/>
        <w:widowControl w:val="0"/>
        <w:kinsoku/>
        <w:wordWrap/>
        <w:overflowPunct/>
        <w:topLinePunct w:val="0"/>
        <w:autoSpaceDE/>
        <w:autoSpaceDN/>
        <w:bidi w:val="0"/>
        <w:adjustRightInd/>
        <w:snapToGrid/>
        <w:textAlignment w:val="auto"/>
        <w:rPr>
          <w:rFonts w:hint="eastAsia"/>
          <w:color w:val="auto"/>
          <w:lang w:val="zh-CN"/>
        </w:rPr>
      </w:pPr>
      <w:r>
        <w:rPr>
          <w:rFonts w:hint="eastAsia"/>
          <w:color w:val="auto"/>
          <w:lang w:val="zh-CN"/>
        </w:rPr>
        <w:t>采用三牙轮钻头和螺杆钻具钻头进行施工时，正常情况下可选取下表参数，牙轮钻头采用的钻压数值不超过钻铤重量的70%，在开孔、换层、地层情况异常时，钻压、转速需减小。</w:t>
      </w:r>
    </w:p>
    <w:p>
      <w:pPr>
        <w:pStyle w:val="57"/>
        <w:bidi w:val="0"/>
        <w:ind w:left="0" w:leftChars="0" w:firstLine="0" w:firstLineChars="0"/>
        <w:jc w:val="both"/>
        <w:rPr>
          <w:rFonts w:hint="eastAsia" w:asciiTheme="minorEastAsia" w:hAnsiTheme="minorEastAsia" w:eastAsiaTheme="minorEastAsia" w:cstheme="minorEastAsia"/>
          <w:color w:val="auto"/>
          <w:sz w:val="24"/>
          <w:szCs w:val="24"/>
          <w:lang w:val="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2-5-4                      </w:t>
      </w:r>
      <w:r>
        <w:rPr>
          <w:rFonts w:hint="eastAsia" w:ascii="楷体_GB2312" w:hAnsi="楷体_GB2312" w:eastAsia="楷体_GB2312" w:cs="楷体_GB2312"/>
          <w:color w:val="auto"/>
          <w:lang w:val="zh-CN" w:eastAsia="zh-CN"/>
        </w:rPr>
        <w:t>正常钻进技术参数表</w:t>
      </w:r>
    </w:p>
    <w:tbl>
      <w:tblPr>
        <w:tblStyle w:val="25"/>
        <w:tblW w:w="4997" w:type="pct"/>
        <w:jc w:val="center"/>
        <w:tblLayout w:type="autofit"/>
        <w:tblCellMar>
          <w:top w:w="0" w:type="dxa"/>
          <w:left w:w="108" w:type="dxa"/>
          <w:bottom w:w="0" w:type="dxa"/>
          <w:right w:w="108" w:type="dxa"/>
        </w:tblCellMar>
      </w:tblPr>
      <w:tblGrid>
        <w:gridCol w:w="1325"/>
        <w:gridCol w:w="2055"/>
        <w:gridCol w:w="1839"/>
        <w:gridCol w:w="1982"/>
        <w:gridCol w:w="2081"/>
      </w:tblGrid>
      <w:tr>
        <w:tblPrEx>
          <w:tblCellMar>
            <w:top w:w="0" w:type="dxa"/>
            <w:left w:w="108" w:type="dxa"/>
            <w:bottom w:w="0" w:type="dxa"/>
            <w:right w:w="108" w:type="dxa"/>
          </w:tblCellMar>
        </w:tblPrEx>
        <w:trPr>
          <w:trHeight w:val="408" w:hRule="atLeast"/>
          <w:jc w:val="center"/>
        </w:trPr>
        <w:tc>
          <w:tcPr>
            <w:tcW w:w="714"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106"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钻</w:t>
            </w:r>
            <w:r>
              <w:rPr>
                <w:rFonts w:hint="eastAsia" w:ascii="楷体_GB2312" w:hAnsi="楷体_GB2312" w:eastAsia="楷体_GB2312" w:cs="楷体_GB2312"/>
                <w:color w:val="auto"/>
                <w:sz w:val="21"/>
                <w:szCs w:val="21"/>
              </w:rPr>
              <w:t xml:space="preserve"> </w:t>
            </w:r>
            <w:r>
              <w:rPr>
                <w:rFonts w:hint="eastAsia" w:ascii="楷体_GB2312" w:hAnsi="楷体_GB2312" w:eastAsia="楷体_GB2312" w:cs="楷体_GB2312"/>
                <w:color w:val="auto"/>
                <w:sz w:val="21"/>
                <w:szCs w:val="21"/>
                <w:lang w:val="zh-CN"/>
              </w:rPr>
              <w:t>头</w:t>
            </w:r>
            <w:r>
              <w:rPr>
                <w:rFonts w:hint="eastAsia" w:ascii="楷体_GB2312" w:hAnsi="楷体_GB2312" w:eastAsia="楷体_GB2312" w:cs="楷体_GB2312"/>
                <w:color w:val="auto"/>
                <w:sz w:val="21"/>
                <w:szCs w:val="21"/>
              </w:rPr>
              <w:t xml:space="preserve"> </w:t>
            </w:r>
            <w:r>
              <w:rPr>
                <w:rFonts w:hint="eastAsia" w:ascii="楷体_GB2312" w:hAnsi="楷体_GB2312" w:eastAsia="楷体_GB2312" w:cs="楷体_GB2312"/>
                <w:color w:val="auto"/>
                <w:sz w:val="21"/>
                <w:szCs w:val="21"/>
                <w:lang w:val="zh-CN"/>
              </w:rPr>
              <w:t>直</w:t>
            </w:r>
            <w:r>
              <w:rPr>
                <w:rFonts w:hint="eastAsia" w:ascii="楷体_GB2312" w:hAnsi="楷体_GB2312" w:eastAsia="楷体_GB2312" w:cs="楷体_GB2312"/>
                <w:color w:val="auto"/>
                <w:sz w:val="21"/>
                <w:szCs w:val="21"/>
              </w:rPr>
              <w:t xml:space="preserve"> </w:t>
            </w:r>
            <w:r>
              <w:rPr>
                <w:rFonts w:hint="eastAsia" w:ascii="楷体_GB2312" w:hAnsi="楷体_GB2312" w:eastAsia="楷体_GB2312" w:cs="楷体_GB2312"/>
                <w:color w:val="auto"/>
                <w:sz w:val="21"/>
                <w:szCs w:val="21"/>
                <w:lang w:val="zh-CN"/>
              </w:rPr>
              <w:t>径</w:t>
            </w:r>
          </w:p>
        </w:tc>
        <w:tc>
          <w:tcPr>
            <w:tcW w:w="99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lang w:val="zh-CN"/>
              </w:rPr>
              <w:t>钻</w:t>
            </w:r>
            <w:r>
              <w:rPr>
                <w:rFonts w:hint="eastAsia" w:ascii="楷体_GB2312" w:hAnsi="楷体_GB2312" w:eastAsia="楷体_GB2312" w:cs="楷体_GB2312"/>
                <w:color w:val="auto"/>
                <w:sz w:val="21"/>
                <w:szCs w:val="21"/>
              </w:rPr>
              <w:t xml:space="preserve"> </w:t>
            </w:r>
            <w:r>
              <w:rPr>
                <w:rFonts w:hint="eastAsia" w:ascii="楷体_GB2312" w:hAnsi="楷体_GB2312" w:eastAsia="楷体_GB2312" w:cs="楷体_GB2312"/>
                <w:color w:val="auto"/>
                <w:sz w:val="21"/>
                <w:szCs w:val="21"/>
                <w:lang w:val="zh-CN"/>
              </w:rPr>
              <w:t>压（</w:t>
            </w:r>
            <w:r>
              <w:rPr>
                <w:rFonts w:hint="eastAsia" w:ascii="楷体_GB2312" w:hAnsi="楷体_GB2312" w:eastAsia="楷体_GB2312" w:cs="楷体_GB2312"/>
                <w:color w:val="auto"/>
                <w:sz w:val="21"/>
                <w:szCs w:val="21"/>
              </w:rPr>
              <w:t>k</w:t>
            </w:r>
            <w:r>
              <w:rPr>
                <w:rFonts w:hint="eastAsia" w:ascii="楷体_GB2312" w:hAnsi="楷体_GB2312" w:eastAsia="楷体_GB2312" w:cs="楷体_GB2312"/>
                <w:color w:val="auto"/>
                <w:sz w:val="21"/>
                <w:szCs w:val="21"/>
                <w:lang w:val="en-US" w:eastAsia="zh-CN"/>
              </w:rPr>
              <w:t>N</w:t>
            </w:r>
            <w:r>
              <w:rPr>
                <w:rFonts w:hint="eastAsia" w:ascii="楷体_GB2312" w:hAnsi="楷体_GB2312" w:eastAsia="楷体_GB2312" w:cs="楷体_GB2312"/>
                <w:color w:val="auto"/>
                <w:sz w:val="21"/>
                <w:szCs w:val="21"/>
                <w:lang w:val="zh-CN"/>
              </w:rPr>
              <w:t>）</w:t>
            </w:r>
          </w:p>
        </w:tc>
        <w:tc>
          <w:tcPr>
            <w:tcW w:w="1067"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lang w:val="zh-CN"/>
              </w:rPr>
              <w:t>转</w:t>
            </w:r>
            <w:r>
              <w:rPr>
                <w:rFonts w:hint="eastAsia" w:ascii="楷体_GB2312" w:hAnsi="楷体_GB2312" w:eastAsia="楷体_GB2312" w:cs="楷体_GB2312"/>
                <w:color w:val="auto"/>
                <w:sz w:val="21"/>
                <w:szCs w:val="21"/>
              </w:rPr>
              <w:t xml:space="preserve"> </w:t>
            </w:r>
            <w:r>
              <w:rPr>
                <w:rFonts w:hint="eastAsia" w:ascii="楷体_GB2312" w:hAnsi="楷体_GB2312" w:eastAsia="楷体_GB2312" w:cs="楷体_GB2312"/>
                <w:color w:val="auto"/>
                <w:sz w:val="21"/>
                <w:szCs w:val="21"/>
                <w:lang w:val="zh-CN"/>
              </w:rPr>
              <w:t>数</w:t>
            </w:r>
            <w:r>
              <w:rPr>
                <w:rFonts w:hint="eastAsia" w:ascii="楷体_GB2312" w:hAnsi="楷体_GB2312" w:eastAsia="楷体_GB2312" w:cs="楷体_GB2312"/>
                <w:color w:val="auto"/>
                <w:sz w:val="21"/>
                <w:szCs w:val="21"/>
              </w:rPr>
              <w:t xml:space="preserve"> (r/min)</w:t>
            </w:r>
          </w:p>
        </w:tc>
        <w:tc>
          <w:tcPr>
            <w:tcW w:w="112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lang w:val="zh-CN"/>
              </w:rPr>
              <w:t>泵</w:t>
            </w:r>
            <w:r>
              <w:rPr>
                <w:rFonts w:hint="eastAsia" w:ascii="楷体_GB2312" w:hAnsi="楷体_GB2312" w:eastAsia="楷体_GB2312" w:cs="楷体_GB2312"/>
                <w:color w:val="auto"/>
                <w:sz w:val="21"/>
                <w:szCs w:val="21"/>
              </w:rPr>
              <w:t xml:space="preserve"> </w:t>
            </w:r>
            <w:r>
              <w:rPr>
                <w:rFonts w:hint="eastAsia" w:ascii="楷体_GB2312" w:hAnsi="楷体_GB2312" w:eastAsia="楷体_GB2312" w:cs="楷体_GB2312"/>
                <w:color w:val="auto"/>
                <w:sz w:val="21"/>
                <w:szCs w:val="21"/>
                <w:lang w:val="zh-CN"/>
              </w:rPr>
              <w:t>量</w:t>
            </w:r>
            <w:r>
              <w:rPr>
                <w:rFonts w:hint="eastAsia" w:ascii="楷体_GB2312" w:hAnsi="楷体_GB2312" w:eastAsia="楷体_GB2312" w:cs="楷体_GB2312"/>
                <w:color w:val="auto"/>
                <w:sz w:val="21"/>
                <w:szCs w:val="21"/>
              </w:rPr>
              <w:t xml:space="preserve"> (L/s)</w:t>
            </w:r>
          </w:p>
        </w:tc>
      </w:tr>
      <w:tr>
        <w:tblPrEx>
          <w:tblCellMar>
            <w:top w:w="0" w:type="dxa"/>
            <w:left w:w="108" w:type="dxa"/>
            <w:bottom w:w="0" w:type="dxa"/>
            <w:right w:w="108" w:type="dxa"/>
          </w:tblCellMar>
        </w:tblPrEx>
        <w:trPr>
          <w:trHeight w:val="408" w:hRule="atLeast"/>
          <w:jc w:val="center"/>
        </w:trPr>
        <w:tc>
          <w:tcPr>
            <w:tcW w:w="714" w:type="pct"/>
            <w:vMerge w:val="restart"/>
            <w:tcBorders>
              <w:top w:val="single" w:color="auto" w:sz="6" w:space="0"/>
              <w:left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一开</w:t>
            </w:r>
          </w:p>
        </w:tc>
        <w:tc>
          <w:tcPr>
            <w:tcW w:w="1106"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Φ</w:t>
            </w:r>
            <w:r>
              <w:rPr>
                <w:rFonts w:hint="eastAsia" w:ascii="楷体_GB2312" w:hAnsi="楷体_GB2312" w:eastAsia="楷体_GB2312" w:cs="楷体_GB2312"/>
                <w:color w:val="auto"/>
                <w:sz w:val="21"/>
                <w:szCs w:val="21"/>
              </w:rPr>
              <w:t>311.15mm</w:t>
            </w:r>
          </w:p>
        </w:tc>
        <w:tc>
          <w:tcPr>
            <w:tcW w:w="99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20～60</w:t>
            </w:r>
          </w:p>
        </w:tc>
        <w:tc>
          <w:tcPr>
            <w:tcW w:w="1067"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48～64</w:t>
            </w:r>
          </w:p>
        </w:tc>
        <w:tc>
          <w:tcPr>
            <w:tcW w:w="112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24.2</w:t>
            </w:r>
            <w:r>
              <w:rPr>
                <w:rFonts w:hint="eastAsia" w:ascii="楷体_GB2312" w:hAnsi="楷体_GB2312" w:eastAsia="楷体_GB2312" w:cs="楷体_GB2312"/>
                <w:color w:val="auto"/>
                <w:sz w:val="21"/>
                <w:szCs w:val="21"/>
                <w:lang w:val="zh-CN"/>
              </w:rPr>
              <w:t>～</w:t>
            </w:r>
            <w:r>
              <w:rPr>
                <w:rFonts w:hint="eastAsia" w:ascii="楷体_GB2312" w:hAnsi="楷体_GB2312" w:eastAsia="楷体_GB2312" w:cs="楷体_GB2312"/>
                <w:color w:val="auto"/>
                <w:sz w:val="21"/>
                <w:szCs w:val="21"/>
              </w:rPr>
              <w:t>31.6</w:t>
            </w:r>
          </w:p>
        </w:tc>
      </w:tr>
      <w:tr>
        <w:tblPrEx>
          <w:tblCellMar>
            <w:top w:w="0" w:type="dxa"/>
            <w:left w:w="108" w:type="dxa"/>
            <w:bottom w:w="0" w:type="dxa"/>
            <w:right w:w="108" w:type="dxa"/>
          </w:tblCellMar>
        </w:tblPrEx>
        <w:trPr>
          <w:trHeight w:val="408" w:hRule="atLeast"/>
          <w:jc w:val="center"/>
        </w:trPr>
        <w:tc>
          <w:tcPr>
            <w:tcW w:w="714" w:type="pct"/>
            <w:vMerge w:val="continue"/>
            <w:tcBorders>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c>
          <w:tcPr>
            <w:tcW w:w="1106"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Ф203mm螺杆钻具</w:t>
            </w:r>
          </w:p>
        </w:tc>
        <w:tc>
          <w:tcPr>
            <w:tcW w:w="99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20～40</w:t>
            </w:r>
          </w:p>
        </w:tc>
        <w:tc>
          <w:tcPr>
            <w:tcW w:w="1067"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12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24.2</w:t>
            </w:r>
          </w:p>
        </w:tc>
      </w:tr>
      <w:tr>
        <w:tblPrEx>
          <w:tblCellMar>
            <w:top w:w="0" w:type="dxa"/>
            <w:left w:w="108" w:type="dxa"/>
            <w:bottom w:w="0" w:type="dxa"/>
            <w:right w:w="108" w:type="dxa"/>
          </w:tblCellMar>
        </w:tblPrEx>
        <w:trPr>
          <w:trHeight w:val="408" w:hRule="atLeast"/>
          <w:jc w:val="center"/>
        </w:trPr>
        <w:tc>
          <w:tcPr>
            <w:tcW w:w="714" w:type="pct"/>
            <w:vMerge w:val="restart"/>
            <w:tcBorders>
              <w:top w:val="single" w:color="auto" w:sz="6" w:space="0"/>
              <w:left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二开</w:t>
            </w:r>
          </w:p>
        </w:tc>
        <w:tc>
          <w:tcPr>
            <w:tcW w:w="1106"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Ф215.9mm</w:t>
            </w:r>
          </w:p>
        </w:tc>
        <w:tc>
          <w:tcPr>
            <w:tcW w:w="99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40～80</w:t>
            </w:r>
          </w:p>
        </w:tc>
        <w:tc>
          <w:tcPr>
            <w:tcW w:w="1067"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40～52</w:t>
            </w:r>
          </w:p>
        </w:tc>
        <w:tc>
          <w:tcPr>
            <w:tcW w:w="112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19.8～25.4</w:t>
            </w:r>
          </w:p>
        </w:tc>
      </w:tr>
      <w:tr>
        <w:tblPrEx>
          <w:tblCellMar>
            <w:top w:w="0" w:type="dxa"/>
            <w:left w:w="108" w:type="dxa"/>
            <w:bottom w:w="0" w:type="dxa"/>
            <w:right w:w="108" w:type="dxa"/>
          </w:tblCellMar>
        </w:tblPrEx>
        <w:trPr>
          <w:trHeight w:val="442" w:hRule="atLeast"/>
          <w:jc w:val="center"/>
        </w:trPr>
        <w:tc>
          <w:tcPr>
            <w:tcW w:w="714" w:type="pct"/>
            <w:vMerge w:val="continue"/>
            <w:tcBorders>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106"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Ф172mm螺杆钻具</w:t>
            </w:r>
          </w:p>
        </w:tc>
        <w:tc>
          <w:tcPr>
            <w:tcW w:w="99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20～30</w:t>
            </w:r>
          </w:p>
        </w:tc>
        <w:tc>
          <w:tcPr>
            <w:tcW w:w="1067"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120" w:type="pct"/>
            <w:tcBorders>
              <w:top w:val="single" w:color="auto" w:sz="6" w:space="0"/>
              <w:left w:val="single" w:color="auto" w:sz="6" w:space="0"/>
              <w:bottom w:val="single" w:color="auto" w:sz="6" w:space="0"/>
              <w:right w:val="single" w:color="auto" w:sz="6" w:space="0"/>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21.6</w:t>
            </w:r>
          </w:p>
        </w:tc>
      </w:tr>
    </w:tbl>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9"/>
        <w:rPr>
          <w:rFonts w:hint="eastAsia" w:ascii="黑体" w:hAnsi="黑体" w:eastAsia="黑体" w:cs="黑体"/>
          <w:b/>
          <w:bCs/>
          <w:color w:val="auto"/>
          <w:sz w:val="28"/>
          <w:szCs w:val="28"/>
          <w:lang w:val="en-US" w:eastAsia="zh-CN"/>
        </w:rPr>
        <w:sectPr>
          <w:headerReference r:id="rId13" w:type="default"/>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31" w:name="_Toc16307"/>
      <w:r>
        <w:rPr>
          <w:rFonts w:hint="eastAsia" w:ascii="黑体" w:hAnsi="黑体" w:eastAsia="黑体" w:cs="黑体"/>
          <w:b/>
          <w:bCs/>
          <w:color w:val="auto"/>
          <w:sz w:val="28"/>
          <w:szCs w:val="28"/>
          <w:lang w:val="en-US" w:eastAsia="zh-CN"/>
        </w:rPr>
        <w:t>第六节  工艺安排</w:t>
      </w:r>
      <w:bookmarkEnd w:id="131"/>
    </w:p>
    <w:p>
      <w:pPr>
        <w:pStyle w:val="57"/>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heme="minorEastAsia" w:hAnsiTheme="minorEastAsia" w:eastAsiaTheme="minorEastAsia" w:cstheme="minorEastAsia"/>
          <w:b/>
          <w:bCs/>
          <w:color w:val="auto"/>
          <w:highlight w:val="none"/>
          <w:lang w:val="zh-CN" w:eastAsia="zh-CN"/>
        </w:rPr>
      </w:pPr>
      <w:bookmarkStart w:id="132" w:name="_Toc200569882"/>
      <w:r>
        <w:rPr>
          <w:rFonts w:hint="eastAsia" w:asciiTheme="minorEastAsia" w:hAnsiTheme="minorEastAsia" w:eastAsiaTheme="minorEastAsia" w:cstheme="minorEastAsia"/>
          <w:b/>
          <w:bCs/>
          <w:color w:val="auto"/>
          <w:highlight w:val="none"/>
          <w:lang w:val="en-US" w:eastAsia="zh-CN"/>
        </w:rPr>
        <w:t>一、</w:t>
      </w:r>
      <w:r>
        <w:rPr>
          <w:rFonts w:hint="eastAsia" w:asciiTheme="minorEastAsia" w:hAnsiTheme="minorEastAsia" w:eastAsiaTheme="minorEastAsia" w:cstheme="minorEastAsia"/>
          <w:b/>
          <w:bCs/>
          <w:color w:val="auto"/>
          <w:highlight w:val="none"/>
          <w:lang w:val="zh-CN" w:eastAsia="zh-CN"/>
        </w:rPr>
        <w:t>钻井工艺</w:t>
      </w:r>
    </w:p>
    <w:bookmarkEnd w:id="132"/>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sz w:val="24"/>
          <w:szCs w:val="24"/>
          <w:lang w:val="zh-CN" w:eastAsia="zh-CN"/>
        </w:rPr>
      </w:pPr>
      <w:bookmarkStart w:id="133" w:name="_Toc200569884"/>
      <w:r>
        <w:rPr>
          <w:rFonts w:hint="eastAsia" w:asciiTheme="minorEastAsia" w:hAnsiTheme="minorEastAsia" w:eastAsiaTheme="minorEastAsia" w:cstheme="minorEastAsia"/>
          <w:color w:val="auto"/>
          <w:sz w:val="24"/>
          <w:szCs w:val="24"/>
          <w:lang w:val="en-US" w:eastAsia="zh-CN"/>
        </w:rPr>
        <w:t>（一）</w:t>
      </w:r>
      <w:r>
        <w:rPr>
          <w:rFonts w:hint="eastAsia" w:ascii="宋体" w:hAnsi="宋体" w:eastAsia="宋体" w:cs="宋体"/>
          <w:color w:val="auto"/>
          <w:sz w:val="24"/>
          <w:szCs w:val="24"/>
          <w:lang w:val="zh-CN" w:eastAsia="zh-CN"/>
        </w:rPr>
        <w:t>钻具组合</w:t>
      </w:r>
      <w:bookmarkEnd w:id="133"/>
      <w:r>
        <w:rPr>
          <w:rFonts w:hint="eastAsia" w:ascii="宋体" w:hAnsi="宋体" w:eastAsia="宋体" w:cs="宋体"/>
          <w:color w:val="auto"/>
          <w:sz w:val="24"/>
          <w:szCs w:val="24"/>
          <w:lang w:val="zh-CN" w:eastAsia="zh-CN"/>
        </w:rPr>
        <w:t>，</w:t>
      </w:r>
      <w:r>
        <w:rPr>
          <w:rFonts w:hint="eastAsia" w:ascii="宋体" w:hAnsi="宋体" w:eastAsia="宋体" w:cs="宋体"/>
          <w:color w:val="auto"/>
          <w:sz w:val="24"/>
          <w:szCs w:val="24"/>
          <w:lang w:val="en-US" w:eastAsia="zh-CN"/>
        </w:rPr>
        <w:t>见表2-6-2。</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w:t>
      </w:r>
      <w:r>
        <w:rPr>
          <w:rFonts w:hint="eastAsia" w:ascii="楷体_GB2312" w:hAnsi="楷体_GB2312" w:eastAsia="楷体_GB2312" w:cs="楷体_GB2312"/>
          <w:color w:val="auto"/>
          <w:lang w:val="zh-CN" w:eastAsia="zh-CN"/>
        </w:rPr>
        <w:t>-</w:t>
      </w:r>
      <w:r>
        <w:rPr>
          <w:rFonts w:hint="eastAsia" w:ascii="楷体_GB2312" w:hAnsi="楷体_GB2312" w:eastAsia="楷体_GB2312" w:cs="楷体_GB2312"/>
          <w:color w:val="auto"/>
          <w:lang w:val="en-US" w:eastAsia="zh-CN"/>
        </w:rPr>
        <w:t xml:space="preserve">6-2 </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钻具组合表</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6"/>
        <w:gridCol w:w="1093"/>
        <w:gridCol w:w="1105"/>
        <w:gridCol w:w="6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5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开钻</w:t>
            </w:r>
          </w:p>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次序</w:t>
            </w:r>
          </w:p>
        </w:tc>
        <w:tc>
          <w:tcPr>
            <w:tcW w:w="58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井眼尺寸</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lang w:val="en-US" w:eastAsia="zh-CN"/>
              </w:rPr>
              <w:t>mm</w:t>
            </w:r>
            <w:r>
              <w:rPr>
                <w:rFonts w:hint="eastAsia" w:ascii="楷体_GB2312" w:hAnsi="楷体_GB2312" w:eastAsia="楷体_GB2312" w:cs="楷体_GB2312"/>
                <w:color w:val="auto"/>
                <w:sz w:val="21"/>
                <w:szCs w:val="21"/>
                <w:lang w:eastAsia="zh-CN"/>
              </w:rPr>
              <w:t>）</w:t>
            </w:r>
          </w:p>
        </w:tc>
        <w:tc>
          <w:tcPr>
            <w:tcW w:w="595"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钻进井段</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lang w:val="en-US" w:eastAsia="zh-CN"/>
              </w:rPr>
              <w:t>m</w:t>
            </w:r>
            <w:r>
              <w:rPr>
                <w:rFonts w:hint="eastAsia" w:ascii="楷体_GB2312" w:hAnsi="楷体_GB2312" w:eastAsia="楷体_GB2312" w:cs="楷体_GB2312"/>
                <w:color w:val="auto"/>
                <w:sz w:val="21"/>
                <w:szCs w:val="21"/>
                <w:lang w:eastAsia="zh-CN"/>
              </w:rPr>
              <w:t>）</w:t>
            </w:r>
          </w:p>
        </w:tc>
        <w:tc>
          <w:tcPr>
            <w:tcW w:w="3457"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钻具组合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35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一开</w:t>
            </w:r>
          </w:p>
        </w:tc>
        <w:tc>
          <w:tcPr>
            <w:tcW w:w="58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Ф311.15</w:t>
            </w:r>
          </w:p>
        </w:tc>
        <w:tc>
          <w:tcPr>
            <w:tcW w:w="595"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0～60</w:t>
            </w:r>
          </w:p>
        </w:tc>
        <w:tc>
          <w:tcPr>
            <w:tcW w:w="3457"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Φ311.15钻头+Φ203mm螺杆</w:t>
            </w:r>
            <w:r>
              <w:rPr>
                <w:rFonts w:hint="eastAsia" w:ascii="楷体_GB2312" w:hAnsi="楷体_GB2312" w:eastAsia="楷体_GB2312" w:cs="楷体_GB2312"/>
                <w:color w:val="auto"/>
                <w:sz w:val="21"/>
                <w:szCs w:val="21"/>
                <w:lang w:val="en-US" w:eastAsia="zh-CN"/>
              </w:rPr>
              <w:t>钻具</w:t>
            </w:r>
            <w:r>
              <w:rPr>
                <w:rFonts w:hint="eastAsia" w:ascii="楷体_GB2312" w:hAnsi="楷体_GB2312" w:eastAsia="楷体_GB2312" w:cs="楷体_GB2312"/>
                <w:color w:val="auto"/>
                <w:sz w:val="21"/>
                <w:szCs w:val="21"/>
              </w:rPr>
              <w:t>+Φ165mm无磁钻铤3根+Φ127mm钻杆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9" w:hRule="atLeast"/>
          <w:jc w:val="center"/>
        </w:trPr>
        <w:tc>
          <w:tcPr>
            <w:tcW w:w="35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二开</w:t>
            </w:r>
          </w:p>
        </w:tc>
        <w:tc>
          <w:tcPr>
            <w:tcW w:w="58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Ф215.9</w:t>
            </w:r>
          </w:p>
        </w:tc>
        <w:tc>
          <w:tcPr>
            <w:tcW w:w="595" w:type="pct"/>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0～19</w:t>
            </w:r>
            <w:r>
              <w:rPr>
                <w:rFonts w:hint="eastAsia" w:ascii="楷体_GB2312" w:hAnsi="楷体_GB2312" w:eastAsia="楷体_GB2312" w:cs="楷体_GB2312"/>
                <w:color w:val="auto"/>
                <w:sz w:val="21"/>
                <w:szCs w:val="21"/>
                <w:lang w:val="en-US" w:eastAsia="zh-CN"/>
              </w:rPr>
              <w:t>00</w:t>
            </w:r>
          </w:p>
        </w:tc>
        <w:tc>
          <w:tcPr>
            <w:tcW w:w="3457"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Ф215.9钻头+Φ172mm螺杆</w:t>
            </w:r>
            <w:r>
              <w:rPr>
                <w:rFonts w:hint="eastAsia" w:ascii="楷体_GB2312" w:hAnsi="楷体_GB2312" w:eastAsia="楷体_GB2312" w:cs="楷体_GB2312"/>
                <w:color w:val="auto"/>
                <w:sz w:val="21"/>
                <w:szCs w:val="21"/>
                <w:lang w:val="en-US" w:eastAsia="zh-CN"/>
              </w:rPr>
              <w:t>钻具</w:t>
            </w:r>
            <w:r>
              <w:rPr>
                <w:rFonts w:hint="eastAsia" w:ascii="楷体_GB2312" w:hAnsi="楷体_GB2312" w:eastAsia="楷体_GB2312" w:cs="楷体_GB2312"/>
                <w:color w:val="auto"/>
                <w:sz w:val="21"/>
                <w:szCs w:val="21"/>
              </w:rPr>
              <w:t>（1.5°单弯）+Φ165mm浮阀+Φ165mm接头+Φ165mm无磁钻铤1根+EWD组合165mm转换接头+Φ127mm 钻杆+Φ127mm 加重钻杆4根+Φ127mm 钻杆</w:t>
            </w:r>
          </w:p>
        </w:tc>
      </w:tr>
    </w:tbl>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eastAsia="zh-CN"/>
        </w:rPr>
      </w:pPr>
      <w:bookmarkStart w:id="134" w:name="_Toc200569885"/>
      <w:r>
        <w:rPr>
          <w:rFonts w:hint="eastAsia"/>
          <w:color w:val="auto"/>
          <w:lang w:val="en-US" w:eastAsia="zh-CN"/>
        </w:rPr>
        <w:t>（二）泥浆</w:t>
      </w:r>
      <w:r>
        <w:rPr>
          <w:rFonts w:hint="eastAsia"/>
          <w:color w:val="auto"/>
          <w:lang w:val="zh-CN" w:eastAsia="zh-CN"/>
        </w:rPr>
        <w:t>施工中选用钻</w:t>
      </w:r>
      <w:r>
        <w:rPr>
          <w:rFonts w:hint="eastAsia"/>
          <w:color w:val="auto"/>
          <w:lang w:val="en-US" w:eastAsia="zh-CN"/>
        </w:rPr>
        <w:t>井</w:t>
      </w:r>
      <w:r>
        <w:rPr>
          <w:rFonts w:hint="eastAsia"/>
          <w:color w:val="auto"/>
          <w:lang w:val="zh-CN" w:eastAsia="zh-CN"/>
        </w:rPr>
        <w:t>液进行护壁钻进，具体要求为：</w:t>
      </w:r>
      <w:bookmarkEnd w:id="134"/>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zh-CN"/>
        </w:rPr>
        <w:t>钻进钻孔液配制以防塌、防漏为目的，使用常规泥浆，根据施工实际情况进行调整，必要时加入降失水剂和稀释剂，以保证正常钻进，提高钻效。</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zh-CN"/>
        </w:rPr>
        <w:t>配浆材料：钠膨润土，纯碱，高粘度纤维素，腐植酸钾，PAC-141或水解聚丙烯酰胺HPH。</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zh-CN"/>
        </w:rPr>
        <w:t>泥浆性能要求：密度：1.05</w:t>
      </w:r>
      <w:r>
        <w:rPr>
          <w:rFonts w:hint="eastAsia"/>
          <w:color w:val="auto"/>
        </w:rPr>
        <w:t>～</w:t>
      </w:r>
      <w:r>
        <w:rPr>
          <w:rFonts w:hint="eastAsia"/>
          <w:color w:val="auto"/>
          <w:lang w:val="zh-CN"/>
        </w:rPr>
        <w:t>1.15g/c</w:t>
      </w:r>
      <w:r>
        <w:rPr>
          <w:rFonts w:hint="eastAsia"/>
          <w:color w:val="auto"/>
          <w:lang w:val="en-US" w:eastAsia="zh-CN"/>
        </w:rPr>
        <w:t>m</w:t>
      </w:r>
      <w:r>
        <w:rPr>
          <w:rFonts w:hint="eastAsia"/>
          <w:color w:val="auto"/>
          <w:vertAlign w:val="superscript"/>
          <w:lang w:val="en-US" w:eastAsia="zh-CN"/>
        </w:rPr>
        <w:t>3</w:t>
      </w:r>
      <w:r>
        <w:rPr>
          <w:rFonts w:hint="eastAsia"/>
          <w:color w:val="auto"/>
          <w:lang w:val="zh-CN"/>
        </w:rPr>
        <w:t>，漏斗粘度：20</w:t>
      </w:r>
      <w:r>
        <w:rPr>
          <w:rFonts w:hint="eastAsia"/>
          <w:color w:val="auto"/>
        </w:rPr>
        <w:t>～</w:t>
      </w:r>
      <w:r>
        <w:rPr>
          <w:rFonts w:hint="eastAsia"/>
          <w:color w:val="auto"/>
          <w:lang w:val="zh-CN"/>
        </w:rPr>
        <w:t>30S，失水量：＜10ml/30min，泥皮厚：1mm,含砂量：＜0.4％，PH值：8</w:t>
      </w:r>
      <w:r>
        <w:rPr>
          <w:rFonts w:hint="eastAsia"/>
          <w:color w:val="auto"/>
        </w:rPr>
        <w:t>～</w:t>
      </w:r>
      <w:r>
        <w:rPr>
          <w:rFonts w:hint="eastAsia"/>
          <w:color w:val="auto"/>
          <w:lang w:val="zh-CN"/>
        </w:rPr>
        <w:t>9。</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zh-CN"/>
        </w:rPr>
        <w:t>造斜段、增斜段、近水平顺层段钻进</w:t>
      </w:r>
      <w:r>
        <w:rPr>
          <w:rFonts w:hint="eastAsia"/>
          <w:color w:val="auto"/>
          <w:lang w:val="en-US" w:eastAsia="zh-CN"/>
        </w:rPr>
        <w:t>钻井</w:t>
      </w:r>
      <w:r>
        <w:rPr>
          <w:rFonts w:hint="eastAsia"/>
          <w:color w:val="auto"/>
          <w:lang w:val="zh-CN"/>
        </w:rPr>
        <w:t>液配制以防塌、增粘为目的。防止垮塌，提升岩屑上返能力，达到安全钻进的目的，因此采用无固相化学泥浆冲洗液循环技术，保障水平孔的顺利钻进。在保证施工安全的情况下，也可以采用清水钻进。采用连续泥浆罐、搅拌器、振动筛、除泥器等设备，对含沙量、泥饼等性能进行控制。并添加润滑剂、抑制剂等使钻</w:t>
      </w:r>
      <w:r>
        <w:rPr>
          <w:rFonts w:hint="eastAsia"/>
          <w:color w:val="auto"/>
          <w:lang w:val="en-US" w:eastAsia="zh-CN"/>
        </w:rPr>
        <w:t>井</w:t>
      </w:r>
      <w:r>
        <w:rPr>
          <w:rFonts w:hint="eastAsia"/>
          <w:color w:val="auto"/>
          <w:lang w:val="zh-CN"/>
        </w:rPr>
        <w:t>液有良好的润滑性、抑制性和携砂性。</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highlight w:val="none"/>
          <w:lang w:val="en-US" w:eastAsia="zh-CN"/>
        </w:rPr>
        <w:t>用于配置</w:t>
      </w:r>
      <w:r>
        <w:rPr>
          <w:rFonts w:hint="eastAsia"/>
          <w:color w:val="auto"/>
          <w:highlight w:val="none"/>
          <w:lang w:val="zh-CN"/>
        </w:rPr>
        <w:t>无固相泥浆</w:t>
      </w:r>
      <w:r>
        <w:rPr>
          <w:rFonts w:hint="eastAsia"/>
          <w:color w:val="auto"/>
          <w:highlight w:val="none"/>
          <w:lang w:val="en-US" w:eastAsia="zh-CN"/>
        </w:rPr>
        <w:t>的</w:t>
      </w:r>
      <w:r>
        <w:rPr>
          <w:rFonts w:hint="eastAsia"/>
          <w:color w:val="auto"/>
          <w:highlight w:val="none"/>
          <w:lang w:val="zh-CN"/>
        </w:rPr>
        <w:t>材料：</w:t>
      </w:r>
      <w:r>
        <w:rPr>
          <w:rFonts w:hint="eastAsia"/>
          <w:color w:val="auto"/>
          <w:lang w:val="zh-CN"/>
        </w:rPr>
        <w:t>纯碱，高粘度纤维素，PAC-141或水解聚丙烯酰胺HPH、增粘剂、润滑剂等。</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zh-CN"/>
        </w:rPr>
        <w:t>泥浆性能要求：密度：1.02</w:t>
      </w:r>
      <w:r>
        <w:rPr>
          <w:rFonts w:hint="eastAsia"/>
          <w:color w:val="auto"/>
        </w:rPr>
        <w:t>～</w:t>
      </w:r>
      <w:r>
        <w:rPr>
          <w:rFonts w:hint="eastAsia"/>
          <w:color w:val="auto"/>
          <w:lang w:val="zh-CN"/>
        </w:rPr>
        <w:t>1.05g/c</w:t>
      </w:r>
      <w:r>
        <w:rPr>
          <w:rFonts w:hint="eastAsia"/>
          <w:color w:val="auto"/>
          <w:lang w:val="en-US" w:eastAsia="zh-CN"/>
        </w:rPr>
        <w:t>m</w:t>
      </w:r>
      <w:r>
        <w:rPr>
          <w:rFonts w:hint="eastAsia"/>
          <w:color w:val="auto"/>
          <w:vertAlign w:val="superscript"/>
          <w:lang w:val="en-US" w:eastAsia="zh-CN"/>
        </w:rPr>
        <w:t>3</w:t>
      </w:r>
      <w:r>
        <w:rPr>
          <w:rFonts w:hint="eastAsia"/>
          <w:color w:val="auto"/>
          <w:lang w:val="zh-CN"/>
        </w:rPr>
        <w:t>，漏斗粘度：20</w:t>
      </w:r>
      <w:r>
        <w:rPr>
          <w:rFonts w:hint="eastAsia"/>
          <w:color w:val="auto"/>
        </w:rPr>
        <w:t>～</w:t>
      </w:r>
      <w:r>
        <w:rPr>
          <w:rFonts w:hint="eastAsia"/>
          <w:color w:val="auto"/>
          <w:lang w:val="zh-CN"/>
        </w:rPr>
        <w:t>30S，失水量：＜10ml/30min，含砂量：＜0.4％，PH值：8</w:t>
      </w:r>
      <w:r>
        <w:rPr>
          <w:rFonts w:hint="eastAsia"/>
          <w:color w:val="auto"/>
        </w:rPr>
        <w:t>～</w:t>
      </w:r>
      <w:r>
        <w:rPr>
          <w:rFonts w:hint="eastAsia"/>
          <w:color w:val="auto"/>
          <w:lang w:val="zh-CN"/>
        </w:rPr>
        <w:t>9。</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zh-CN"/>
        </w:rPr>
        <w:t>泥浆性能维护，施工中认真观测泥浆性能，发现性能达不到施工要求时，及时进行调整，调浆时，用搅拌机将泥浆调整好，顺循环槽将泥浆缓慢流入泥浆池中，起钻前尽量不要调整泥浆，以防止比重不均造成喷浆，泥浆中不得加入清水。施工中做好记录，做好固相清理工作，防止孔内事故发生。</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zh-CN"/>
        </w:rPr>
        <w:t>现场泥浆材料管理：</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1.</w:t>
      </w:r>
      <w:r>
        <w:rPr>
          <w:rFonts w:hint="eastAsia"/>
          <w:color w:val="auto"/>
          <w:lang w:val="zh-CN"/>
        </w:rPr>
        <w:t>钻场配备漏斗粘度计、失水量测试仪、密度计、含砂量测试杯和PH试纸等野外冲洗液性能测试工具，并设专人负责保管；</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2.</w:t>
      </w:r>
      <w:r>
        <w:rPr>
          <w:rFonts w:hint="eastAsia"/>
          <w:color w:val="auto"/>
          <w:lang w:val="zh-CN"/>
        </w:rPr>
        <w:t>钻场泥浆净化、除砂设备如振动筛、旋流除砂器等，正常钻进时每个班运转不少于6</w:t>
      </w:r>
      <w:r>
        <w:rPr>
          <w:rFonts w:hint="eastAsia"/>
          <w:color w:val="auto"/>
          <w:lang w:val="en-US" w:eastAsia="zh-CN"/>
        </w:rPr>
        <w:t>h</w:t>
      </w:r>
      <w:r>
        <w:rPr>
          <w:rFonts w:hint="eastAsia"/>
          <w:color w:val="auto"/>
          <w:lang w:val="zh-CN"/>
        </w:rPr>
        <w:t>，同时设专人负责清理循环槽、沉淀池系统的岩屑，做好固相清理工作；</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3.</w:t>
      </w:r>
      <w:r>
        <w:rPr>
          <w:rFonts w:hint="eastAsia"/>
          <w:color w:val="auto"/>
          <w:lang w:val="zh-CN"/>
        </w:rPr>
        <w:t>造浆用的膨润土，化学处理剂及其他材料必须采取防雨、防潮措施，不得受潮、结块影响使用效果。</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bookmarkStart w:id="135" w:name="_Toc200569886"/>
      <w:r>
        <w:rPr>
          <w:rFonts w:hint="eastAsia"/>
          <w:color w:val="auto"/>
          <w:lang w:val="en-US" w:eastAsia="zh-CN"/>
        </w:rPr>
        <w:t>（三）</w:t>
      </w:r>
      <w:r>
        <w:rPr>
          <w:rFonts w:hint="eastAsia"/>
          <w:color w:val="auto"/>
          <w:lang w:val="zh-CN"/>
        </w:rPr>
        <w:t>施工技术要点</w:t>
      </w:r>
      <w:bookmarkEnd w:id="135"/>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1.</w:t>
      </w:r>
      <w:r>
        <w:rPr>
          <w:rFonts w:hint="eastAsia"/>
          <w:color w:val="auto"/>
          <w:lang w:val="zh-CN"/>
        </w:rPr>
        <w:t>轨迹控制技术要点</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（1）</w:t>
      </w:r>
      <w:r>
        <w:rPr>
          <w:rFonts w:hint="eastAsia"/>
          <w:color w:val="auto"/>
          <w:lang w:val="zh-CN"/>
        </w:rPr>
        <w:t>控制好井眼轨迹，测点要合适，数据要准；</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（2）</w:t>
      </w:r>
      <w:r>
        <w:rPr>
          <w:rFonts w:hint="eastAsia"/>
          <w:color w:val="auto"/>
          <w:lang w:val="zh-CN"/>
        </w:rPr>
        <w:t>钻进时必须控制井斜、严格执行设计，保证防斜打直井眼轨迹平滑；</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（3）</w:t>
      </w:r>
      <w:r>
        <w:rPr>
          <w:rFonts w:hint="eastAsia"/>
          <w:color w:val="auto"/>
          <w:lang w:val="zh-CN"/>
        </w:rPr>
        <w:t>采用单点测斜仪器，始终保持井斜与设计同步，严格控制井眼曲率。</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2.</w:t>
      </w:r>
      <w:r>
        <w:rPr>
          <w:rFonts w:hint="eastAsia"/>
          <w:color w:val="auto"/>
          <w:lang w:val="zh-CN"/>
        </w:rPr>
        <w:t>工具使用技术要点</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（1）</w:t>
      </w:r>
      <w:r>
        <w:rPr>
          <w:rFonts w:hint="eastAsia"/>
          <w:color w:val="auto"/>
          <w:lang w:val="zh-CN"/>
        </w:rPr>
        <w:t>直井段采用PDC钻头+塔式钻具组合；</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（2）</w:t>
      </w:r>
      <w:r>
        <w:rPr>
          <w:rFonts w:hint="eastAsia"/>
          <w:color w:val="auto"/>
          <w:lang w:val="zh-CN"/>
        </w:rPr>
        <w:t>钻进过程中，若有蹩跳等现象发生，要立即停钻分析原因，在原因不清的情况下，不允许钻进；</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（3）</w:t>
      </w:r>
      <w:r>
        <w:rPr>
          <w:rFonts w:hint="eastAsia"/>
          <w:color w:val="auto"/>
          <w:lang w:val="zh-CN"/>
        </w:rPr>
        <w:t>加强工具管理、定期探伤检查、防止掉钻具、掉螺杆事故的发生。</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3.</w:t>
      </w:r>
      <w:r>
        <w:rPr>
          <w:rFonts w:hint="eastAsia"/>
          <w:color w:val="auto"/>
          <w:lang w:val="zh-CN"/>
        </w:rPr>
        <w:t>井眼净化技术要点</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（1）</w:t>
      </w:r>
      <w:r>
        <w:rPr>
          <w:rFonts w:hint="eastAsia"/>
          <w:color w:val="auto"/>
          <w:lang w:val="zh-CN"/>
        </w:rPr>
        <w:t>保证地面的机泵条件，使用3NB-1300泵170mm缸套，排量达到32</w:t>
      </w:r>
      <w:r>
        <w:rPr>
          <w:rFonts w:hint="eastAsia"/>
          <w:color w:val="auto"/>
        </w:rPr>
        <w:t>～</w:t>
      </w:r>
      <w:r>
        <w:rPr>
          <w:rFonts w:hint="eastAsia"/>
          <w:color w:val="auto"/>
          <w:lang w:val="zh-CN"/>
        </w:rPr>
        <w:t>35L/S。钻井液的性能必须满足悬岩和携砂的要求；</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（2）</w:t>
      </w:r>
      <w:r>
        <w:rPr>
          <w:rFonts w:hint="eastAsia"/>
          <w:color w:val="auto"/>
          <w:lang w:val="zh-CN"/>
        </w:rPr>
        <w:t>直井段钻进时优选钻头提高机械钻速，保证井壁稳定和井眼畅通；</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（3）</w:t>
      </w:r>
      <w:r>
        <w:rPr>
          <w:rFonts w:hint="eastAsia"/>
          <w:color w:val="auto"/>
          <w:lang w:val="zh-CN"/>
        </w:rPr>
        <w:t>每钻进一个单根都要大幅度上下活动钻具。提高悬岩和携砂的能力；</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（4）</w:t>
      </w:r>
      <w:r>
        <w:rPr>
          <w:rFonts w:hint="eastAsia"/>
          <w:color w:val="auto"/>
          <w:lang w:val="zh-CN"/>
        </w:rPr>
        <w:t>如发现震动筛面钻屑返出量较少、接单根困难，可使用高粘度、高切力的段塞泥浆清扫井眼；</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（5）</w:t>
      </w:r>
      <w:r>
        <w:rPr>
          <w:rFonts w:hint="eastAsia"/>
          <w:color w:val="auto"/>
          <w:lang w:val="zh-CN"/>
        </w:rPr>
        <w:t>强化固控设备的管理，保证四级净化，而且必须做到固控设备利用率达到100%；</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zh-CN"/>
        </w:rPr>
      </w:pPr>
      <w:r>
        <w:rPr>
          <w:rFonts w:hint="eastAsia"/>
          <w:color w:val="auto"/>
          <w:lang w:val="en-US" w:eastAsia="zh-CN"/>
        </w:rPr>
        <w:t>（6）</w:t>
      </w:r>
      <w:r>
        <w:rPr>
          <w:rFonts w:hint="eastAsia"/>
          <w:color w:val="auto"/>
          <w:lang w:val="zh-CN"/>
        </w:rPr>
        <w:t>钻井过程中必须保证钻井液性能良好，并及时混入液体和固体润滑剂，防止粘卡，降低附加拉力。</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Theme="minorEastAsia" w:hAnsiTheme="minorEastAsia" w:eastAsiaTheme="minorEastAsia" w:cstheme="minorEastAsia"/>
          <w:b/>
          <w:bCs/>
          <w:color w:val="auto"/>
          <w:lang w:val="en-US" w:eastAsia="zh-CN"/>
        </w:rPr>
      </w:pPr>
      <w:bookmarkStart w:id="136" w:name="_Toc200569888"/>
      <w:bookmarkStart w:id="137" w:name="_Toc91670127"/>
      <w:bookmarkStart w:id="138" w:name="_Toc12955"/>
      <w:r>
        <w:rPr>
          <w:rFonts w:hint="eastAsia" w:asciiTheme="minorEastAsia" w:hAnsiTheme="minorEastAsia" w:eastAsiaTheme="minorEastAsia" w:cstheme="minorEastAsia"/>
          <w:b/>
          <w:bCs/>
          <w:color w:val="auto"/>
          <w:lang w:val="en-US" w:eastAsia="zh-CN"/>
        </w:rPr>
        <w:t>二、射孔工艺</w:t>
      </w:r>
    </w:p>
    <w:p>
      <w:pPr>
        <w:pStyle w:val="57"/>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color w:val="auto"/>
          <w:lang w:val="en-US" w:eastAsia="zh-CN"/>
        </w:rPr>
      </w:pPr>
      <w:r>
        <w:rPr>
          <w:rFonts w:hint="eastAsia"/>
          <w:color w:val="auto"/>
          <w:lang w:val="en-US" w:eastAsia="zh-CN"/>
        </w:rPr>
        <w:t>（一）器材参数</w:t>
      </w:r>
      <w:bookmarkEnd w:id="136"/>
    </w:p>
    <w:p>
      <w:pPr>
        <w:pStyle w:val="57"/>
        <w:bidi w:val="0"/>
        <w:ind w:left="0" w:leftChars="0" w:firstLine="0" w:firstLineChars="0"/>
        <w:jc w:val="both"/>
        <w:rPr>
          <w:rFonts w:hint="eastAsia" w:ascii="楷体_GB2312" w:hAnsi="楷体_GB2312" w:eastAsia="楷体_GB2312" w:cs="楷体_GB2312"/>
          <w:color w:val="auto"/>
          <w:lang w:val="zh-CN" w:eastAsia="zh-CN"/>
        </w:rPr>
      </w:pPr>
      <w:bookmarkStart w:id="139" w:name="_Toc20648"/>
      <w:bookmarkStart w:id="140" w:name="_Toc11722"/>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2-6-3                        </w:t>
      </w:r>
      <w:r>
        <w:rPr>
          <w:rFonts w:hint="eastAsia" w:ascii="楷体_GB2312" w:hAnsi="楷体_GB2312" w:eastAsia="楷体_GB2312" w:cs="楷体_GB2312"/>
          <w:color w:val="auto"/>
          <w:lang w:val="zh-CN" w:eastAsia="zh-CN"/>
        </w:rPr>
        <w:t xml:space="preserve"> 射孔枪参数</w:t>
      </w:r>
      <w:bookmarkEnd w:id="139"/>
      <w:bookmarkEnd w:id="140"/>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2004"/>
        <w:gridCol w:w="1789"/>
        <w:gridCol w:w="3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射孔枪型号</w:t>
            </w:r>
          </w:p>
        </w:tc>
        <w:tc>
          <w:tcPr>
            <w:tcW w:w="1079"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外径</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rPr>
              <w:t>mm</w:t>
            </w:r>
            <w:r>
              <w:rPr>
                <w:rFonts w:hint="eastAsia" w:ascii="楷体_GB2312" w:hAnsi="楷体_GB2312" w:eastAsia="楷体_GB2312" w:cs="楷体_GB2312"/>
                <w:color w:val="auto"/>
                <w:sz w:val="21"/>
                <w:szCs w:val="21"/>
                <w:lang w:eastAsia="zh-CN"/>
              </w:rPr>
              <w:t>）</w:t>
            </w:r>
          </w:p>
        </w:tc>
        <w:tc>
          <w:tcPr>
            <w:tcW w:w="963"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孔密</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rPr>
              <w:t>spm</w:t>
            </w:r>
            <w:r>
              <w:rPr>
                <w:rFonts w:hint="eastAsia" w:ascii="楷体_GB2312" w:hAnsi="楷体_GB2312" w:eastAsia="楷体_GB2312" w:cs="楷体_GB2312"/>
                <w:color w:val="auto"/>
                <w:sz w:val="21"/>
                <w:szCs w:val="21"/>
                <w:lang w:eastAsia="zh-CN"/>
              </w:rPr>
              <w:t>）</w:t>
            </w:r>
          </w:p>
        </w:tc>
        <w:tc>
          <w:tcPr>
            <w:tcW w:w="166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工作压力</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rPr>
              <w:t>MPa</w:t>
            </w:r>
            <w:r>
              <w:rPr>
                <w:rFonts w:hint="eastAsia" w:ascii="楷体_GB2312" w:hAnsi="楷体_GB2312" w:eastAsia="楷体_GB2312" w:cs="楷体_GB2312"/>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89-16DP-60-105</w:t>
            </w:r>
          </w:p>
        </w:tc>
        <w:tc>
          <w:tcPr>
            <w:tcW w:w="1079"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89</w:t>
            </w:r>
          </w:p>
        </w:tc>
        <w:tc>
          <w:tcPr>
            <w:tcW w:w="963"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12</w:t>
            </w:r>
          </w:p>
        </w:tc>
        <w:tc>
          <w:tcPr>
            <w:tcW w:w="166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105</w:t>
            </w:r>
          </w:p>
        </w:tc>
      </w:tr>
    </w:tbl>
    <w:p>
      <w:pPr>
        <w:pStyle w:val="57"/>
        <w:bidi w:val="0"/>
        <w:ind w:left="0" w:leftChars="0" w:firstLine="0" w:firstLineChars="0"/>
        <w:jc w:val="both"/>
        <w:rPr>
          <w:rFonts w:hint="eastAsia" w:ascii="楷体_GB2312" w:hAnsi="楷体_GB2312" w:eastAsia="楷体_GB2312" w:cs="楷体_GB2312"/>
          <w:color w:val="auto"/>
          <w:lang w:val="zh-CN" w:eastAsia="zh-CN"/>
        </w:rPr>
      </w:pPr>
      <w:bookmarkStart w:id="141" w:name="_Toc15067"/>
      <w:bookmarkStart w:id="142" w:name="_Toc10104"/>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2-6-4                        </w:t>
      </w:r>
      <w:r>
        <w:rPr>
          <w:rFonts w:hint="eastAsia" w:ascii="楷体_GB2312" w:hAnsi="楷体_GB2312" w:eastAsia="楷体_GB2312" w:cs="楷体_GB2312"/>
          <w:color w:val="auto"/>
          <w:lang w:val="zh-CN" w:eastAsia="zh-CN"/>
        </w:rPr>
        <w:t xml:space="preserve"> 射孔弹参数</w:t>
      </w:r>
      <w:bookmarkEnd w:id="141"/>
      <w:bookmarkEnd w:id="142"/>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6"/>
        <w:gridCol w:w="1969"/>
        <w:gridCol w:w="27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5"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射孔弹型号</w:t>
            </w:r>
          </w:p>
        </w:tc>
        <w:tc>
          <w:tcPr>
            <w:tcW w:w="1060"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主炸药类型</w:t>
            </w:r>
          </w:p>
        </w:tc>
        <w:tc>
          <w:tcPr>
            <w:tcW w:w="1464"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耐温</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rPr>
              <w:t>℃／6h</w:t>
            </w:r>
            <w:r>
              <w:rPr>
                <w:rFonts w:hint="eastAsia" w:ascii="楷体_GB2312" w:hAnsi="楷体_GB2312" w:eastAsia="楷体_GB2312" w:cs="楷体_GB2312"/>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5"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DP40RDX30</w:t>
            </w:r>
          </w:p>
        </w:tc>
        <w:tc>
          <w:tcPr>
            <w:tcW w:w="1060"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RDX</w:t>
            </w:r>
          </w:p>
        </w:tc>
        <w:tc>
          <w:tcPr>
            <w:tcW w:w="1464"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140</w:t>
            </w:r>
          </w:p>
        </w:tc>
      </w:tr>
    </w:tbl>
    <w:p>
      <w:pPr>
        <w:pStyle w:val="57"/>
        <w:bidi w:val="0"/>
        <w:ind w:left="0" w:leftChars="0" w:firstLine="0" w:firstLineChars="0"/>
        <w:jc w:val="both"/>
        <w:rPr>
          <w:rFonts w:hint="eastAsia" w:ascii="楷体_GB2312" w:hAnsi="楷体_GB2312" w:eastAsia="楷体_GB2312" w:cs="楷体_GB2312"/>
          <w:color w:val="auto"/>
          <w:lang w:val="zh-CN" w:eastAsia="zh-CN"/>
        </w:rPr>
      </w:pPr>
      <w:bookmarkStart w:id="143" w:name="_Toc174"/>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2-6-5                   </w:t>
      </w:r>
      <w:r>
        <w:rPr>
          <w:rFonts w:hint="eastAsia" w:ascii="楷体_GB2312" w:hAnsi="楷体_GB2312" w:eastAsia="楷体_GB2312" w:cs="楷体_GB2312"/>
          <w:color w:val="auto"/>
          <w:lang w:val="zh-CN" w:eastAsia="zh-CN"/>
        </w:rPr>
        <w:t xml:space="preserve"> 大通径可溶球桥塞参数</w:t>
      </w:r>
      <w:bookmarkEnd w:id="143"/>
    </w:p>
    <w:tbl>
      <w:tblPr>
        <w:tblStyle w:val="2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760"/>
        <w:gridCol w:w="2443"/>
        <w:gridCol w:w="1991"/>
        <w:gridCol w:w="2189"/>
        <w:gridCol w:w="17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14" w:type="pct"/>
            <w:vMerge w:val="restar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序号</w:t>
            </w:r>
          </w:p>
        </w:tc>
        <w:tc>
          <w:tcPr>
            <w:tcW w:w="1330" w:type="pct"/>
            <w:vMerge w:val="restar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名称</w:t>
            </w:r>
          </w:p>
        </w:tc>
        <w:tc>
          <w:tcPr>
            <w:tcW w:w="2276" w:type="pct"/>
            <w:gridSpan w:val="2"/>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尺寸</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lang w:val="en-US" w:eastAsia="zh-CN"/>
              </w:rPr>
              <w:t>mm</w:t>
            </w:r>
            <w:r>
              <w:rPr>
                <w:rFonts w:hint="eastAsia" w:ascii="楷体_GB2312" w:hAnsi="楷体_GB2312" w:eastAsia="楷体_GB2312" w:cs="楷体_GB2312"/>
                <w:color w:val="auto"/>
                <w:sz w:val="21"/>
                <w:szCs w:val="21"/>
                <w:lang w:eastAsia="zh-CN"/>
              </w:rPr>
              <w:t>）</w:t>
            </w:r>
          </w:p>
        </w:tc>
        <w:tc>
          <w:tcPr>
            <w:tcW w:w="978" w:type="pct"/>
            <w:vMerge w:val="restar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工作压力</w:t>
            </w:r>
          </w:p>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14" w:type="pct"/>
            <w:vMerge w:val="continue"/>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330" w:type="pct"/>
            <w:vMerge w:val="continue"/>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084"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长度</w:t>
            </w:r>
          </w:p>
        </w:tc>
        <w:tc>
          <w:tcPr>
            <w:tcW w:w="1192"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外径</w:t>
            </w:r>
          </w:p>
        </w:tc>
        <w:tc>
          <w:tcPr>
            <w:tcW w:w="978" w:type="pct"/>
            <w:vMerge w:val="continue"/>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14"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c>
          <w:tcPr>
            <w:tcW w:w="1330"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大通径可溶球桥塞</w:t>
            </w:r>
          </w:p>
        </w:tc>
        <w:tc>
          <w:tcPr>
            <w:tcW w:w="1084"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78</w:t>
            </w:r>
            <w:r>
              <w:rPr>
                <w:rFonts w:hint="eastAsia" w:ascii="楷体_GB2312" w:hAnsi="楷体_GB2312" w:eastAsia="楷体_GB2312" w:cs="楷体_GB2312"/>
                <w:color w:val="auto"/>
                <w:sz w:val="21"/>
                <w:szCs w:val="21"/>
                <w:lang w:val="en-US" w:eastAsia="zh-CN"/>
              </w:rPr>
              <w:t>0</w:t>
            </w:r>
          </w:p>
        </w:tc>
        <w:tc>
          <w:tcPr>
            <w:tcW w:w="1192"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11</w:t>
            </w:r>
            <w:r>
              <w:rPr>
                <w:rFonts w:hint="eastAsia" w:ascii="楷体_GB2312" w:hAnsi="楷体_GB2312" w:eastAsia="楷体_GB2312" w:cs="楷体_GB2312"/>
                <w:color w:val="auto"/>
                <w:sz w:val="21"/>
                <w:szCs w:val="21"/>
                <w:lang w:val="en-US" w:eastAsia="zh-CN"/>
              </w:rPr>
              <w:t>0</w:t>
            </w:r>
          </w:p>
        </w:tc>
        <w:tc>
          <w:tcPr>
            <w:tcW w:w="978" w:type="pct"/>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70</w:t>
            </w:r>
          </w:p>
        </w:tc>
      </w:tr>
    </w:tbl>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bookmarkStart w:id="144" w:name="_Toc200569889"/>
      <w:r>
        <w:rPr>
          <w:rFonts w:hint="eastAsia"/>
          <w:color w:val="auto"/>
          <w:lang w:eastAsia="zh-CN"/>
        </w:rPr>
        <w:drawing>
          <wp:anchor distT="0" distB="0" distL="114300" distR="114300" simplePos="0" relativeHeight="251697152" behindDoc="0" locked="0" layoutInCell="1" allowOverlap="1">
            <wp:simplePos x="0" y="0"/>
            <wp:positionH relativeFrom="column">
              <wp:posOffset>116840</wp:posOffset>
            </wp:positionH>
            <wp:positionV relativeFrom="paragraph">
              <wp:posOffset>73660</wp:posOffset>
            </wp:positionV>
            <wp:extent cx="5757545" cy="1579245"/>
            <wp:effectExtent l="0" t="0" r="14605" b="1905"/>
            <wp:wrapNone/>
            <wp:docPr id="13" name="图片 13" descr="WPS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PS图片(1)"/>
                    <pic:cNvPicPr>
                      <a:picLocks noChangeAspect="1"/>
                    </pic:cNvPicPr>
                  </pic:nvPicPr>
                  <pic:blipFill>
                    <a:blip r:embed="rId118"/>
                    <a:stretch>
                      <a:fillRect/>
                    </a:stretch>
                  </pic:blipFill>
                  <pic:spPr>
                    <a:xfrm>
                      <a:off x="0" y="0"/>
                      <a:ext cx="5757545" cy="1579245"/>
                    </a:xfrm>
                    <a:prstGeom prst="rect">
                      <a:avLst/>
                    </a:prstGeom>
                  </pic:spPr>
                </pic:pic>
              </a:graphicData>
            </a:graphic>
          </wp:anchor>
        </w:drawing>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p>
    <w:p>
      <w:pPr>
        <w:pStyle w:val="57"/>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color w:val="auto"/>
          <w:lang w:eastAsia="zh-CN"/>
        </w:rPr>
      </w:pPr>
      <w:r>
        <w:rPr>
          <w:rFonts w:hint="eastAsia" w:ascii="楷体_GB2312" w:hAnsi="楷体_GB2312" w:eastAsia="楷体_GB2312" w:cs="楷体_GB2312"/>
          <w:color w:val="auto"/>
          <w:lang w:val="en-US" w:eastAsia="zh-CN"/>
        </w:rPr>
        <w:t>图2-6-1  电缆输送桥塞分段压裂井下工具串组合</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r>
        <w:rPr>
          <w:rFonts w:hint="eastAsia"/>
          <w:color w:val="auto"/>
          <w:lang w:eastAsia="zh-CN"/>
        </w:rPr>
        <w:drawing>
          <wp:anchor distT="0" distB="0" distL="114300" distR="114300" simplePos="0" relativeHeight="251698176" behindDoc="0" locked="0" layoutInCell="1" allowOverlap="1">
            <wp:simplePos x="0" y="0"/>
            <wp:positionH relativeFrom="column">
              <wp:posOffset>116840</wp:posOffset>
            </wp:positionH>
            <wp:positionV relativeFrom="paragraph">
              <wp:posOffset>43815</wp:posOffset>
            </wp:positionV>
            <wp:extent cx="5760085" cy="764540"/>
            <wp:effectExtent l="0" t="0" r="12065" b="16510"/>
            <wp:wrapNone/>
            <wp:docPr id="15" name="图片 15" descr="WPS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PS图片(1)"/>
                    <pic:cNvPicPr>
                      <a:picLocks noChangeAspect="1"/>
                    </pic:cNvPicPr>
                  </pic:nvPicPr>
                  <pic:blipFill>
                    <a:blip r:embed="rId119"/>
                    <a:stretch>
                      <a:fillRect/>
                    </a:stretch>
                  </pic:blipFill>
                  <pic:spPr>
                    <a:xfrm>
                      <a:off x="0" y="0"/>
                      <a:ext cx="5760085" cy="764540"/>
                    </a:xfrm>
                    <a:prstGeom prst="rect">
                      <a:avLst/>
                    </a:prstGeom>
                  </pic:spPr>
                </pic:pic>
              </a:graphicData>
            </a:graphic>
          </wp:anchor>
        </w:drawing>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p>
    <w:p>
      <w:pPr>
        <w:pStyle w:val="57"/>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color w:val="auto"/>
          <w:lang w:eastAsia="zh-CN"/>
        </w:rPr>
      </w:pPr>
      <w:r>
        <w:rPr>
          <w:rFonts w:hint="eastAsia" w:ascii="楷体_GB2312" w:hAnsi="楷体_GB2312" w:eastAsia="楷体_GB2312" w:cs="楷体_GB2312"/>
          <w:color w:val="auto"/>
          <w:lang w:val="en-US" w:eastAsia="zh-CN"/>
        </w:rPr>
        <w:t>图2-6-2  射孔枪示意图</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r>
        <w:rPr>
          <w:rFonts w:hint="eastAsia"/>
          <w:color w:val="auto"/>
          <w:lang w:eastAsia="zh-CN"/>
        </w:rPr>
        <w:drawing>
          <wp:anchor distT="0" distB="0" distL="114300" distR="114300" simplePos="0" relativeHeight="251699200" behindDoc="0" locked="0" layoutInCell="1" allowOverlap="1">
            <wp:simplePos x="0" y="0"/>
            <wp:positionH relativeFrom="column">
              <wp:posOffset>116840</wp:posOffset>
            </wp:positionH>
            <wp:positionV relativeFrom="paragraph">
              <wp:posOffset>85090</wp:posOffset>
            </wp:positionV>
            <wp:extent cx="5898515" cy="1869440"/>
            <wp:effectExtent l="0" t="0" r="6985" b="16510"/>
            <wp:wrapNone/>
            <wp:docPr id="16" name="图片 1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
                    <pic:cNvPicPr>
                      <a:picLocks noChangeAspect="1"/>
                    </pic:cNvPicPr>
                  </pic:nvPicPr>
                  <pic:blipFill>
                    <a:blip r:embed="rId120"/>
                    <a:stretch>
                      <a:fillRect/>
                    </a:stretch>
                  </pic:blipFill>
                  <pic:spPr>
                    <a:xfrm>
                      <a:off x="0" y="0"/>
                      <a:ext cx="5898515" cy="1869440"/>
                    </a:xfrm>
                    <a:prstGeom prst="rect">
                      <a:avLst/>
                    </a:prstGeom>
                  </pic:spPr>
                </pic:pic>
              </a:graphicData>
            </a:graphic>
          </wp:anchor>
        </w:drawing>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eastAsia="zh-CN"/>
        </w:rPr>
      </w:pP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color w:val="auto"/>
          <w:lang w:val="zh-CN"/>
        </w:rPr>
      </w:pPr>
      <w:r>
        <w:rPr>
          <w:rFonts w:hint="eastAsia"/>
          <w:color w:val="auto"/>
          <w:lang w:eastAsia="zh-CN"/>
        </w:rPr>
        <w:t>（</w:t>
      </w:r>
      <w:r>
        <w:rPr>
          <w:rFonts w:hint="eastAsia"/>
          <w:color w:val="auto"/>
          <w:lang w:val="en-US" w:eastAsia="zh-CN"/>
        </w:rPr>
        <w:t>二</w:t>
      </w:r>
      <w:r>
        <w:rPr>
          <w:rFonts w:hint="eastAsia"/>
          <w:color w:val="auto"/>
          <w:lang w:eastAsia="zh-CN"/>
        </w:rPr>
        <w:t>）</w:t>
      </w:r>
      <w:r>
        <w:rPr>
          <w:rFonts w:hint="eastAsia"/>
          <w:color w:val="auto"/>
          <w:lang w:val="zh-CN"/>
        </w:rPr>
        <w:t>泵送射孔与电缆输送大通径可溶球桥塞及射孔</w:t>
      </w:r>
      <w:bookmarkEnd w:id="137"/>
      <w:bookmarkEnd w:id="138"/>
      <w:bookmarkEnd w:id="144"/>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color w:val="auto"/>
          <w:lang w:val="zh-CN"/>
        </w:rPr>
      </w:pPr>
    </w:p>
    <w:p>
      <w:pPr>
        <w:pStyle w:val="57"/>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default"/>
          <w:color w:val="auto"/>
          <w:lang w:val="en-US"/>
        </w:rPr>
      </w:pPr>
      <w:r>
        <w:rPr>
          <w:rFonts w:hint="eastAsia" w:ascii="楷体_GB2312" w:hAnsi="楷体_GB2312" w:eastAsia="楷体_GB2312" w:cs="楷体_GB2312"/>
          <w:color w:val="auto"/>
          <w:lang w:val="en-US" w:eastAsia="zh-CN"/>
        </w:rPr>
        <w:t>图2-6-3  射孔示意图</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color w:val="auto"/>
          <w:lang w:val="zh-CN"/>
        </w:rPr>
      </w:pPr>
      <w:r>
        <w:rPr>
          <w:rFonts w:hint="eastAsia"/>
          <w:color w:val="auto"/>
          <w:lang w:val="zh-CN"/>
        </w:rPr>
        <w:t>第一段之外的所有各段均采用泵送射孔与电缆输送大通径可溶球桥塞及射孔联作技术服务工艺，即用电缆连接井下射孔枪和桥塞工具串，在密闭施工状态下，将工具串下入井内，达到大斜度段后，井口加压推送工具串下行，通过调整泵排量，在工具串前后形成局部压力差，推动工具串达到目的层段，上提电缆点火坐封桥塞，再次上提电缆分别完成多簇射孔。</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color w:val="auto"/>
          <w:lang w:val="zh-CN"/>
        </w:rPr>
      </w:pPr>
      <w:bookmarkStart w:id="145" w:name="_Toc200569890"/>
      <w:bookmarkStart w:id="146" w:name="_Toc8762"/>
      <w:bookmarkStart w:id="147" w:name="_Toc466"/>
      <w:bookmarkStart w:id="148" w:name="_Toc459120301"/>
      <w:bookmarkStart w:id="149" w:name="_Toc6557573"/>
      <w:bookmarkStart w:id="150" w:name="_Toc3170"/>
      <w:r>
        <w:rPr>
          <w:rFonts w:hint="eastAsia"/>
          <w:color w:val="auto"/>
          <w:lang w:eastAsia="zh-CN"/>
        </w:rPr>
        <w:t>（</w:t>
      </w:r>
      <w:r>
        <w:rPr>
          <w:rFonts w:hint="eastAsia"/>
          <w:color w:val="auto"/>
          <w:lang w:val="en-US" w:eastAsia="zh-CN"/>
        </w:rPr>
        <w:t>三</w:t>
      </w:r>
      <w:r>
        <w:rPr>
          <w:rFonts w:hint="eastAsia"/>
          <w:color w:val="auto"/>
          <w:lang w:eastAsia="zh-CN"/>
        </w:rPr>
        <w:t>）</w:t>
      </w:r>
      <w:r>
        <w:rPr>
          <w:rFonts w:hint="eastAsia"/>
          <w:color w:val="auto"/>
          <w:lang w:val="zh-CN"/>
        </w:rPr>
        <w:t>工具串管柱结构</w:t>
      </w:r>
      <w:bookmarkEnd w:id="145"/>
      <w:bookmarkEnd w:id="146"/>
      <w:bookmarkEnd w:id="147"/>
      <w:bookmarkEnd w:id="148"/>
      <w:bookmarkEnd w:id="149"/>
      <w:bookmarkEnd w:id="150"/>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color w:val="auto"/>
          <w:lang w:val="zh-CN"/>
        </w:rPr>
      </w:pPr>
      <w:r>
        <w:rPr>
          <w:rFonts w:hint="eastAsia"/>
          <w:color w:val="auto"/>
          <w:lang w:val="zh-CN"/>
        </w:rPr>
        <w:t>射孔工具串的质量必须满足在井口高压情况下工具串顺利下入井内的要求，即必须大于井口压力对电缆的上顶力、井液对工具串的浮力、密封脂对电缆的粘滞力之和。</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color w:val="auto"/>
          <w:lang w:val="zh-CN"/>
        </w:rPr>
      </w:pPr>
      <w:r>
        <w:rPr>
          <w:rFonts w:hint="eastAsia"/>
          <w:color w:val="auto"/>
          <w:lang w:val="zh-CN"/>
        </w:rPr>
        <w:t>根据分簇射孔要求和工具串质量，设计工具串结构，见表</w:t>
      </w:r>
      <w:r>
        <w:rPr>
          <w:rFonts w:hint="eastAsia"/>
          <w:color w:val="auto"/>
          <w:lang w:val="en-US" w:eastAsia="zh-CN"/>
        </w:rPr>
        <w:t>2-6-6</w:t>
      </w:r>
      <w:r>
        <w:rPr>
          <w:rFonts w:hint="eastAsia"/>
          <w:color w:val="auto"/>
          <w:lang w:val="zh-CN"/>
        </w:rPr>
        <w:t>。</w:t>
      </w:r>
    </w:p>
    <w:p>
      <w:pPr>
        <w:pStyle w:val="57"/>
        <w:bidi w:val="0"/>
        <w:ind w:left="0" w:leftChars="0" w:firstLine="0" w:firstLineChars="0"/>
        <w:jc w:val="both"/>
        <w:rPr>
          <w:rFonts w:hint="default" w:ascii="楷体_GB2312" w:hAnsi="楷体_GB2312" w:eastAsia="楷体_GB2312" w:cs="楷体_GB2312"/>
          <w:color w:val="auto"/>
          <w:lang w:val="en-US"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2-6-6                    </w:t>
      </w:r>
      <w:r>
        <w:rPr>
          <w:rFonts w:hint="eastAsia" w:ascii="楷体_GB2312" w:hAnsi="楷体_GB2312" w:eastAsia="楷体_GB2312" w:cs="楷体_GB2312"/>
          <w:color w:val="auto"/>
          <w:lang w:val="zh-CN" w:eastAsia="zh-CN"/>
        </w:rPr>
        <w:t>簇段射孔工具串连接顺序</w:t>
      </w:r>
      <w:r>
        <w:rPr>
          <w:rFonts w:hint="eastAsia" w:ascii="楷体_GB2312" w:hAnsi="楷体_GB2312" w:eastAsia="楷体_GB2312" w:cs="楷体_GB2312"/>
          <w:color w:val="auto"/>
          <w:lang w:val="en-US" w:eastAsia="zh-CN"/>
        </w:rPr>
        <w:t>表</w:t>
      </w:r>
    </w:p>
    <w:tbl>
      <w:tblPr>
        <w:tblStyle w:val="25"/>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15" w:type="dxa"/>
          <w:left w:w="15" w:type="dxa"/>
          <w:bottom w:w="15" w:type="dxa"/>
          <w:right w:w="15" w:type="dxa"/>
        </w:tblCellMar>
      </w:tblPr>
      <w:tblGrid>
        <w:gridCol w:w="790"/>
        <w:gridCol w:w="2645"/>
        <w:gridCol w:w="1160"/>
        <w:gridCol w:w="976"/>
        <w:gridCol w:w="1160"/>
        <w:gridCol w:w="2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序号</w:t>
            </w:r>
          </w:p>
        </w:tc>
        <w:tc>
          <w:tcPr>
            <w:tcW w:w="1453"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名称</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外径</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长度</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质量</w:t>
            </w:r>
          </w:p>
        </w:tc>
        <w:tc>
          <w:tcPr>
            <w:tcW w:w="1300"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453"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w:t>
            </w:r>
            <w:r>
              <w:rPr>
                <w:rFonts w:hint="eastAsia" w:ascii="楷体_GB2312" w:hAnsi="楷体_GB2312" w:eastAsia="楷体_GB2312" w:cs="楷体_GB2312"/>
                <w:color w:val="auto"/>
                <w:sz w:val="21"/>
                <w:szCs w:val="21"/>
                <w:lang w:val="en-US" w:eastAsia="zh-CN"/>
              </w:rPr>
              <w:t>m</w:t>
            </w:r>
            <w:r>
              <w:rPr>
                <w:rFonts w:hint="eastAsia" w:ascii="楷体_GB2312" w:hAnsi="楷体_GB2312" w:eastAsia="楷体_GB2312" w:cs="楷体_GB2312"/>
                <w:color w:val="auto"/>
                <w:sz w:val="21"/>
                <w:szCs w:val="21"/>
              </w:rPr>
              <w:t>m）</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（m</w:t>
            </w:r>
            <w:r>
              <w:rPr>
                <w:rFonts w:hint="eastAsia" w:ascii="楷体_GB2312" w:hAnsi="楷体_GB2312" w:eastAsia="楷体_GB2312" w:cs="楷体_GB2312"/>
                <w:color w:val="auto"/>
                <w:sz w:val="21"/>
                <w:szCs w:val="21"/>
                <w:lang w:val="en-US" w:eastAsia="zh-CN"/>
              </w:rPr>
              <w:t>m</w:t>
            </w:r>
            <w:r>
              <w:rPr>
                <w:rFonts w:hint="eastAsia" w:ascii="楷体_GB2312" w:hAnsi="楷体_GB2312" w:eastAsia="楷体_GB2312" w:cs="楷体_GB2312"/>
                <w:color w:val="auto"/>
                <w:sz w:val="21"/>
                <w:szCs w:val="21"/>
              </w:rPr>
              <w:t>）</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（kg）</w:t>
            </w:r>
          </w:p>
        </w:tc>
        <w:tc>
          <w:tcPr>
            <w:tcW w:w="1300"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马笼头及打捞筒</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504</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35</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磁定位</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70</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45</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3</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快速接头</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86</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22</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顶部接头</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86</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5</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枪身变扣</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6</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射孔枪3#</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13</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1.0m含射孔弹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7</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枪身变扣</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8</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中间接头</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86</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0</w:t>
            </w:r>
            <w:r>
              <w:rPr>
                <w:rFonts w:hint="eastAsia" w:ascii="楷体_GB2312" w:hAnsi="楷体_GB2312" w:eastAsia="楷体_GB2312" w:cs="楷体_GB2312"/>
                <w:color w:val="auto"/>
                <w:sz w:val="21"/>
                <w:szCs w:val="21"/>
              </w:rPr>
              <w:t>7</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9</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枪身变扣</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10</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射孔枪2#</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13</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1.0m含射孔弹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11</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枪身变扣</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12</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中间接头</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86</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7</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13</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枪身变扣</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14</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射孔枪1#</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13</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1.0m含射孔弹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15</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枪身变扣</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89</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w:t>
            </w:r>
            <w:r>
              <w:rPr>
                <w:rFonts w:hint="eastAsia" w:ascii="楷体_GB2312" w:hAnsi="楷体_GB2312" w:eastAsia="楷体_GB2312" w:cs="楷体_GB2312"/>
                <w:color w:val="auto"/>
                <w:sz w:val="21"/>
                <w:szCs w:val="21"/>
                <w:lang w:val="en-US" w:eastAsia="zh-CN"/>
              </w:rPr>
              <w:t>00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16</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侧窗短接</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86</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18</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17</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尾部短接</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86</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12</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3</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18</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快速接头</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86</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22</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19</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贝克20#</w:t>
            </w:r>
          </w:p>
        </w:tc>
        <w:tc>
          <w:tcPr>
            <w:tcW w:w="637"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93</w:t>
            </w:r>
            <w:r>
              <w:rPr>
                <w:rFonts w:hint="eastAsia" w:ascii="楷体_GB2312" w:hAnsi="楷体_GB2312" w:eastAsia="楷体_GB2312" w:cs="楷体_GB2312"/>
                <w:color w:val="auto"/>
                <w:sz w:val="21"/>
                <w:szCs w:val="21"/>
                <w:lang w:val="en-US" w:eastAsia="zh-CN"/>
              </w:rPr>
              <w:t>0</w:t>
            </w:r>
          </w:p>
        </w:tc>
        <w:tc>
          <w:tcPr>
            <w:tcW w:w="536"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176</w:t>
            </w:r>
            <w:r>
              <w:rPr>
                <w:rFonts w:hint="eastAsia" w:ascii="楷体_GB2312" w:hAnsi="楷体_GB2312" w:eastAsia="楷体_GB2312" w:cs="楷体_GB2312"/>
                <w:color w:val="auto"/>
                <w:sz w:val="21"/>
                <w:szCs w:val="21"/>
                <w:lang w:val="en-US" w:eastAsia="zh-CN"/>
              </w:rPr>
              <w:t>0</w:t>
            </w:r>
          </w:p>
        </w:tc>
        <w:tc>
          <w:tcPr>
            <w:tcW w:w="637"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71</w:t>
            </w:r>
          </w:p>
        </w:tc>
        <w:tc>
          <w:tcPr>
            <w:tcW w:w="1300" w:type="pct"/>
            <w:vMerge w:val="restar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含点火头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坐封工具</w:t>
            </w:r>
          </w:p>
        </w:tc>
        <w:tc>
          <w:tcPr>
            <w:tcW w:w="637"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536"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637"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1300" w:type="pct"/>
            <w:vMerge w:val="continue"/>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20</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坐封推筒</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110</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57</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17</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434"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21</w:t>
            </w:r>
          </w:p>
        </w:tc>
        <w:tc>
          <w:tcPr>
            <w:tcW w:w="1453"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桥塞</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110</w:t>
            </w:r>
            <w:r>
              <w:rPr>
                <w:rFonts w:hint="eastAsia" w:ascii="楷体_GB2312" w:hAnsi="楷体_GB2312" w:eastAsia="楷体_GB2312" w:cs="楷体_GB2312"/>
                <w:color w:val="auto"/>
                <w:sz w:val="21"/>
                <w:szCs w:val="21"/>
                <w:lang w:val="en-US" w:eastAsia="zh-CN"/>
              </w:rPr>
              <w:t>0</w:t>
            </w: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78</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8</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54" w:hRule="atLeast"/>
          <w:jc w:val="center"/>
        </w:trPr>
        <w:tc>
          <w:tcPr>
            <w:tcW w:w="1887" w:type="pct"/>
            <w:gridSpan w:val="2"/>
            <w:tcBorders>
              <w:tl2br w:val="nil"/>
              <w:tr2bl w:val="nil"/>
            </w:tcBorders>
            <w:shd w:val="clear" w:color="auto"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总计</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c>
          <w:tcPr>
            <w:tcW w:w="536"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934</w:t>
            </w:r>
            <w:r>
              <w:rPr>
                <w:rFonts w:hint="eastAsia" w:ascii="楷体_GB2312" w:hAnsi="楷体_GB2312" w:eastAsia="楷体_GB2312" w:cs="楷体_GB2312"/>
                <w:color w:val="auto"/>
                <w:sz w:val="21"/>
                <w:szCs w:val="21"/>
                <w:lang w:val="en-US" w:eastAsia="zh-CN"/>
              </w:rPr>
              <w:t>0</w:t>
            </w:r>
          </w:p>
        </w:tc>
        <w:tc>
          <w:tcPr>
            <w:tcW w:w="637"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236</w:t>
            </w:r>
          </w:p>
        </w:tc>
        <w:tc>
          <w:tcPr>
            <w:tcW w:w="1300" w:type="pct"/>
            <w:tcBorders>
              <w:tl2br w:val="nil"/>
              <w:tr2bl w:val="nil"/>
            </w:tcBorders>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系统耐70MPa</w:t>
            </w:r>
          </w:p>
        </w:tc>
      </w:tr>
    </w:tbl>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rPr>
      </w:pPr>
      <w:bookmarkStart w:id="151" w:name="_Toc29959"/>
      <w:bookmarkStart w:id="152" w:name="_Toc200569891"/>
      <w:bookmarkStart w:id="153" w:name="_Toc459120302"/>
      <w:bookmarkStart w:id="154" w:name="_Toc9114"/>
      <w:bookmarkStart w:id="155" w:name="_Toc396547757"/>
      <w:bookmarkStart w:id="156" w:name="_Toc6557574"/>
      <w:bookmarkStart w:id="157" w:name="_Toc31733"/>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lang w:val="en-US" w:eastAsia="zh-CN"/>
        </w:rPr>
        <w:t>四</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电缆弱点强度</w:t>
      </w:r>
      <w:bookmarkEnd w:id="151"/>
      <w:bookmarkEnd w:id="152"/>
      <w:bookmarkEnd w:id="153"/>
      <w:bookmarkEnd w:id="154"/>
      <w:bookmarkEnd w:id="155"/>
      <w:bookmarkEnd w:id="156"/>
      <w:bookmarkEnd w:id="157"/>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zh-CN"/>
        </w:rPr>
        <w:t>电缆在使用中应同时满足：井口处电缆最大张力不超过电缆抗拉强度的50%，即不超过最大工作张力（25</w:t>
      </w:r>
      <w:r>
        <w:rPr>
          <w:rFonts w:hint="eastAsia" w:asciiTheme="minorEastAsia" w:hAnsiTheme="minorEastAsia" w:cstheme="minorEastAsia"/>
          <w:color w:val="auto"/>
          <w:lang w:val="en-US" w:eastAsia="zh-CN"/>
        </w:rPr>
        <w:t>k</w:t>
      </w:r>
      <w:r>
        <w:rPr>
          <w:rFonts w:hint="eastAsia" w:asciiTheme="minorEastAsia" w:hAnsiTheme="minorEastAsia" w:eastAsiaTheme="minorEastAsia" w:cstheme="minorEastAsia"/>
          <w:color w:val="auto"/>
          <w:lang w:val="zh-CN"/>
        </w:rPr>
        <w:t>N）；电缆弱点受力一般不得超过弱点强度张力的75%。</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zh-CN"/>
        </w:rPr>
        <w:t>考虑上提工具串时的摩阻（30～50</w:t>
      </w:r>
      <w:r>
        <w:rPr>
          <w:rFonts w:hint="eastAsia" w:asciiTheme="minorEastAsia" w:hAnsiTheme="minorEastAsia" w:cstheme="minorEastAsia"/>
          <w:color w:val="auto"/>
          <w:lang w:val="en-US" w:eastAsia="zh-CN"/>
        </w:rPr>
        <w:t>k</w:t>
      </w:r>
      <w:r>
        <w:rPr>
          <w:rFonts w:hint="eastAsia" w:asciiTheme="minorEastAsia" w:hAnsiTheme="minorEastAsia" w:eastAsiaTheme="minorEastAsia" w:cstheme="minorEastAsia"/>
          <w:color w:val="auto"/>
          <w:lang w:val="zh-CN"/>
        </w:rPr>
        <w:t>g），电缆弱点设置必须保证工具串上提过程中有足够的安全系数，同时考虑泵送过程中有可能出现砂桥，电缆弱点断脱的风险较大。</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lang w:val="zh-CN"/>
        </w:rPr>
      </w:pPr>
      <w:r>
        <w:rPr>
          <w:rFonts w:hint="eastAsia" w:asciiTheme="minorEastAsia" w:hAnsiTheme="minorEastAsia" w:eastAsiaTheme="minorEastAsia" w:cstheme="minorEastAsia"/>
          <w:color w:val="auto"/>
          <w:lang w:val="zh-CN"/>
        </w:rPr>
        <w:t>结合井身结构，经过计算和试验，电缆头</w:t>
      </w:r>
      <w:r>
        <w:rPr>
          <w:rFonts w:hint="eastAsia" w:asciiTheme="minorEastAsia" w:hAnsiTheme="minorEastAsia" w:eastAsiaTheme="minorEastAsia" w:cstheme="minorEastAsia"/>
          <w:color w:val="auto"/>
          <w:lang w:val="en-US" w:eastAsia="zh-CN"/>
        </w:rPr>
        <w:t>铠</w:t>
      </w:r>
      <w:r>
        <w:rPr>
          <w:rFonts w:hint="eastAsia" w:asciiTheme="minorEastAsia" w:hAnsiTheme="minorEastAsia" w:eastAsiaTheme="minorEastAsia" w:cstheme="minorEastAsia"/>
          <w:color w:val="auto"/>
          <w:lang w:val="zh-CN"/>
        </w:rPr>
        <w:t>装12根钢丝（外10内2），拉断力18.0～19.0</w:t>
      </w:r>
      <w:r>
        <w:rPr>
          <w:rFonts w:hint="eastAsia" w:asciiTheme="minorEastAsia" w:hAnsiTheme="minorEastAsia" w:cstheme="minorEastAsia"/>
          <w:color w:val="auto"/>
          <w:lang w:val="en-US" w:eastAsia="zh-CN"/>
        </w:rPr>
        <w:t>k</w:t>
      </w:r>
      <w:r>
        <w:rPr>
          <w:rFonts w:hint="eastAsia" w:asciiTheme="minorEastAsia" w:hAnsiTheme="minorEastAsia" w:eastAsiaTheme="minorEastAsia" w:cstheme="minorEastAsia"/>
          <w:color w:val="auto"/>
          <w:lang w:val="zh-CN"/>
        </w:rPr>
        <w:t>N。</w:t>
      </w:r>
      <w:bookmarkStart w:id="158" w:name="_Toc10773"/>
      <w:bookmarkStart w:id="159" w:name="_Toc459120303"/>
      <w:bookmarkStart w:id="160" w:name="_Toc5131"/>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rPr>
      </w:pPr>
      <w:bookmarkStart w:id="161" w:name="_Toc459120305"/>
      <w:bookmarkStart w:id="162" w:name="_Toc4147"/>
      <w:bookmarkStart w:id="163" w:name="_Toc396547759"/>
      <w:bookmarkStart w:id="164" w:name="_Toc6940"/>
      <w:bookmarkStart w:id="165" w:name="_Toc16213"/>
      <w:bookmarkStart w:id="166" w:name="_Toc3998"/>
      <w:bookmarkStart w:id="167" w:name="_Toc18160"/>
      <w:bookmarkStart w:id="168" w:name="_Toc200569892"/>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lang w:val="en-US" w:eastAsia="zh-CN"/>
        </w:rPr>
        <w:t>五</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射孔装备</w:t>
      </w:r>
      <w:bookmarkEnd w:id="161"/>
      <w:bookmarkEnd w:id="162"/>
      <w:bookmarkEnd w:id="163"/>
      <w:bookmarkEnd w:id="164"/>
      <w:bookmarkEnd w:id="165"/>
      <w:bookmarkEnd w:id="166"/>
      <w:bookmarkEnd w:id="167"/>
      <w:bookmarkEnd w:id="168"/>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1.</w:t>
      </w:r>
      <w:r>
        <w:rPr>
          <w:rFonts w:hint="eastAsia" w:asciiTheme="minorEastAsia" w:hAnsiTheme="minorEastAsia" w:eastAsiaTheme="minorEastAsia" w:cstheme="minorEastAsia"/>
          <w:color w:val="auto"/>
        </w:rPr>
        <w:t xml:space="preserve">绞车：液压控制电缆滚筒。 </w:t>
      </w:r>
    </w:p>
    <w:p>
      <w:pPr>
        <w:pStyle w:val="5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2.</w:t>
      </w:r>
      <w:r>
        <w:rPr>
          <w:rFonts w:hint="eastAsia" w:asciiTheme="minorEastAsia" w:hAnsiTheme="minorEastAsia" w:eastAsiaTheme="minorEastAsia" w:cstheme="minorEastAsia"/>
          <w:color w:val="auto"/>
        </w:rPr>
        <w:t>电缆：见表</w:t>
      </w:r>
      <w:r>
        <w:rPr>
          <w:rFonts w:hint="eastAsia" w:asciiTheme="minorEastAsia" w:hAnsiTheme="minorEastAsia" w:eastAsiaTheme="minorEastAsia" w:cstheme="minorEastAsia"/>
          <w:color w:val="auto"/>
          <w:lang w:val="en-US" w:eastAsia="zh-CN"/>
        </w:rPr>
        <w:t>2-6-7</w:t>
      </w:r>
      <w:r>
        <w:rPr>
          <w:rFonts w:hint="eastAsia" w:asciiTheme="minorEastAsia" w:hAnsiTheme="minorEastAsia" w:eastAsiaTheme="minorEastAsia" w:cstheme="minorEastAsia"/>
          <w:color w:val="auto"/>
        </w:rPr>
        <w:t>。</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2-6-7                            </w:t>
      </w:r>
      <w:r>
        <w:rPr>
          <w:rFonts w:hint="eastAsia" w:ascii="楷体_GB2312" w:hAnsi="楷体_GB2312" w:eastAsia="楷体_GB2312" w:cs="楷体_GB2312"/>
          <w:color w:val="auto"/>
          <w:lang w:val="zh-CN" w:eastAsia="zh-CN"/>
        </w:rPr>
        <w:t>电缆参数</w:t>
      </w:r>
    </w:p>
    <w:tbl>
      <w:tblPr>
        <w:tblStyle w:val="25"/>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094"/>
        <w:gridCol w:w="3095"/>
        <w:gridCol w:w="30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型号</w:t>
            </w:r>
          </w:p>
        </w:tc>
        <w:tc>
          <w:tcPr>
            <w:tcW w:w="3333" w:type="pct"/>
            <w:gridSpan w:val="2"/>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江苏华能电缆WGSB/8.00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直径</w:t>
            </w:r>
          </w:p>
        </w:tc>
        <w:tc>
          <w:tcPr>
            <w:tcW w:w="3333" w:type="pct"/>
            <w:gridSpan w:val="2"/>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Φ8mm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长度</w:t>
            </w:r>
          </w:p>
        </w:tc>
        <w:tc>
          <w:tcPr>
            <w:tcW w:w="3333" w:type="pct"/>
            <w:gridSpan w:val="2"/>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6000m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耐温</w:t>
            </w:r>
          </w:p>
        </w:tc>
        <w:tc>
          <w:tcPr>
            <w:tcW w:w="3333" w:type="pct"/>
            <w:gridSpan w:val="2"/>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-30～150℃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电缆伸长率</w:t>
            </w:r>
          </w:p>
        </w:tc>
        <w:tc>
          <w:tcPr>
            <w:tcW w:w="3333" w:type="pct"/>
            <w:gridSpan w:val="2"/>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&gt;0.2％（大于2</w:t>
            </w:r>
            <w:r>
              <w:rPr>
                <w:rFonts w:hint="eastAsia" w:ascii="楷体_GB2312" w:hAnsi="楷体_GB2312" w:eastAsia="楷体_GB2312" w:cs="楷体_GB2312"/>
                <w:color w:val="auto"/>
                <w:sz w:val="21"/>
                <w:szCs w:val="21"/>
                <w:lang w:val="en-US" w:eastAsia="zh-CN"/>
              </w:rPr>
              <w:t>t</w:t>
            </w:r>
            <w:r>
              <w:rPr>
                <w:rFonts w:hint="eastAsia" w:ascii="楷体_GB2312" w:hAnsi="楷体_GB2312" w:eastAsia="楷体_GB2312" w:cs="楷体_GB2312"/>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抗拉强度（两端固定）</w:t>
            </w:r>
          </w:p>
        </w:tc>
        <w:tc>
          <w:tcPr>
            <w:tcW w:w="3333" w:type="pct"/>
            <w:gridSpan w:val="2"/>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1110M</w:t>
            </w:r>
            <w:r>
              <w:rPr>
                <w:rFonts w:hint="eastAsia" w:ascii="楷体_GB2312" w:hAnsi="楷体_GB2312" w:eastAsia="楷体_GB2312" w:cs="楷体_GB2312"/>
                <w:color w:val="auto"/>
                <w:sz w:val="21"/>
                <w:szCs w:val="21"/>
                <w:lang w:val="en-US" w:eastAsia="zh-CN"/>
              </w:rPr>
              <w:t>P</w:t>
            </w:r>
            <w:r>
              <w:rPr>
                <w:rFonts w:hint="eastAsia" w:ascii="楷体_GB2312" w:hAnsi="楷体_GB2312" w:eastAsia="楷体_GB2312" w:cs="楷体_GB2312"/>
                <w:color w:val="auto"/>
                <w:sz w:val="21"/>
                <w:szCs w:val="21"/>
              </w:rPr>
              <w: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最大额定张力</w:t>
            </w:r>
          </w:p>
        </w:tc>
        <w:tc>
          <w:tcPr>
            <w:tcW w:w="3333" w:type="pct"/>
            <w:gridSpan w:val="2"/>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55.0</w:t>
            </w:r>
            <w:r>
              <w:rPr>
                <w:rFonts w:hint="eastAsia" w:ascii="楷体_GB2312" w:hAnsi="楷体_GB2312" w:eastAsia="楷体_GB2312" w:cs="楷体_GB2312"/>
                <w:color w:val="auto"/>
                <w:sz w:val="21"/>
                <w:szCs w:val="21"/>
                <w:lang w:val="en-US" w:eastAsia="zh-CN"/>
              </w:rPr>
              <w:t>k</w:t>
            </w:r>
            <w:r>
              <w:rPr>
                <w:rFonts w:hint="eastAsia" w:ascii="楷体_GB2312" w:hAnsi="楷体_GB2312" w:eastAsia="楷体_GB2312" w:cs="楷体_GB2312"/>
                <w:color w:val="auto"/>
                <w:sz w:val="21"/>
                <w:szCs w:val="21"/>
              </w:rPr>
              <w:t>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铠装钢丝直径</w:t>
            </w:r>
          </w:p>
        </w:tc>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内层：12</w:t>
            </w:r>
            <w:r>
              <w:rPr>
                <w:rFonts w:hint="eastAsia" w:ascii="楷体_GB2312" w:hAnsi="楷体_GB2312" w:eastAsia="楷体_GB2312" w:cs="楷体_GB2312"/>
                <w:color w:val="auto"/>
                <w:sz w:val="21"/>
                <w:szCs w:val="21"/>
                <w:lang w:val="en-US" w:eastAsia="zh-CN"/>
              </w:rPr>
              <w:t>×</w:t>
            </w:r>
            <w:r>
              <w:rPr>
                <w:rFonts w:hint="eastAsia" w:ascii="楷体_GB2312" w:hAnsi="楷体_GB2312" w:eastAsia="楷体_GB2312" w:cs="楷体_GB2312"/>
                <w:color w:val="auto"/>
                <w:sz w:val="21"/>
                <w:szCs w:val="21"/>
              </w:rPr>
              <w:t>1.11mm</w:t>
            </w:r>
          </w:p>
        </w:tc>
        <w:tc>
          <w:tcPr>
            <w:tcW w:w="1667"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外层：18</w:t>
            </w:r>
            <w:r>
              <w:rPr>
                <w:rFonts w:hint="eastAsia" w:ascii="楷体_GB2312" w:hAnsi="楷体_GB2312" w:eastAsia="楷体_GB2312" w:cs="楷体_GB2312"/>
                <w:color w:val="auto"/>
                <w:sz w:val="21"/>
                <w:szCs w:val="21"/>
                <w:lang w:val="en-US" w:eastAsia="zh-CN"/>
              </w:rPr>
              <w:t>×</w:t>
            </w:r>
            <w:r>
              <w:rPr>
                <w:rFonts w:hint="eastAsia" w:ascii="楷体_GB2312" w:hAnsi="楷体_GB2312" w:eastAsia="楷体_GB2312" w:cs="楷体_GB2312"/>
                <w:color w:val="auto"/>
                <w:sz w:val="21"/>
                <w:szCs w:val="21"/>
              </w:rPr>
              <w:t>1.11mm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每根钢丝抗拉强度</w:t>
            </w:r>
          </w:p>
        </w:tc>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内层：2.136</w:t>
            </w:r>
            <w:r>
              <w:rPr>
                <w:rFonts w:hint="eastAsia" w:ascii="楷体_GB2312" w:hAnsi="楷体_GB2312" w:eastAsia="楷体_GB2312" w:cs="楷体_GB2312"/>
                <w:color w:val="auto"/>
                <w:sz w:val="21"/>
                <w:szCs w:val="21"/>
                <w:lang w:val="en-US" w:eastAsia="zh-CN"/>
              </w:rPr>
              <w:t>k</w:t>
            </w:r>
            <w:r>
              <w:rPr>
                <w:rFonts w:hint="eastAsia" w:ascii="楷体_GB2312" w:hAnsi="楷体_GB2312" w:eastAsia="楷体_GB2312" w:cs="楷体_GB2312"/>
                <w:color w:val="auto"/>
                <w:sz w:val="21"/>
                <w:szCs w:val="21"/>
              </w:rPr>
              <w:t>N</w:t>
            </w:r>
          </w:p>
        </w:tc>
        <w:tc>
          <w:tcPr>
            <w:tcW w:w="1667"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外层：2.136</w:t>
            </w:r>
            <w:r>
              <w:rPr>
                <w:rFonts w:hint="eastAsia" w:ascii="楷体_GB2312" w:hAnsi="楷体_GB2312" w:eastAsia="楷体_GB2312" w:cs="楷体_GB2312"/>
                <w:color w:val="auto"/>
                <w:sz w:val="21"/>
                <w:szCs w:val="21"/>
                <w:lang w:val="en-US" w:eastAsia="zh-CN"/>
              </w:rPr>
              <w:t>k</w:t>
            </w:r>
            <w:r>
              <w:rPr>
                <w:rFonts w:hint="eastAsia" w:ascii="楷体_GB2312" w:hAnsi="楷体_GB2312" w:eastAsia="楷体_GB2312" w:cs="楷体_GB2312"/>
                <w:color w:val="auto"/>
                <w:sz w:val="21"/>
                <w:szCs w:val="21"/>
              </w:rPr>
              <w:t>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重量</w:t>
            </w:r>
          </w:p>
        </w:tc>
        <w:tc>
          <w:tcPr>
            <w:tcW w:w="1666"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空气中：281</w:t>
            </w:r>
            <w:r>
              <w:rPr>
                <w:rFonts w:hint="eastAsia" w:ascii="楷体_GB2312" w:hAnsi="楷体_GB2312" w:eastAsia="楷体_GB2312" w:cs="楷体_GB2312"/>
                <w:color w:val="auto"/>
                <w:sz w:val="21"/>
                <w:szCs w:val="21"/>
                <w:lang w:val="en-US" w:eastAsia="zh-CN"/>
              </w:rPr>
              <w:t>k</w:t>
            </w:r>
            <w:r>
              <w:rPr>
                <w:rFonts w:hint="eastAsia" w:ascii="楷体_GB2312" w:hAnsi="楷体_GB2312" w:eastAsia="楷体_GB2312" w:cs="楷体_GB2312"/>
                <w:color w:val="auto"/>
                <w:sz w:val="21"/>
                <w:szCs w:val="21"/>
              </w:rPr>
              <w:t>g/km</w:t>
            </w:r>
          </w:p>
        </w:tc>
        <w:tc>
          <w:tcPr>
            <w:tcW w:w="1667"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水中：218</w:t>
            </w:r>
            <w:r>
              <w:rPr>
                <w:rFonts w:hint="eastAsia" w:ascii="楷体_GB2312" w:hAnsi="楷体_GB2312" w:eastAsia="楷体_GB2312" w:cs="楷体_GB2312"/>
                <w:color w:val="auto"/>
                <w:sz w:val="21"/>
                <w:szCs w:val="21"/>
                <w:lang w:val="en-US" w:eastAsia="zh-CN"/>
              </w:rPr>
              <w:t>k</w:t>
            </w:r>
            <w:r>
              <w:rPr>
                <w:rFonts w:hint="eastAsia" w:ascii="楷体_GB2312" w:hAnsi="楷体_GB2312" w:eastAsia="楷体_GB2312" w:cs="楷体_GB2312"/>
                <w:color w:val="auto"/>
                <w:sz w:val="21"/>
                <w:szCs w:val="21"/>
              </w:rPr>
              <w:t>g/km</w:t>
            </w:r>
          </w:p>
        </w:tc>
      </w:tr>
    </w:tbl>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val="en-US" w:eastAsia="zh-CN"/>
        </w:rPr>
        <w:t>3.</w:t>
      </w:r>
      <w:r>
        <w:rPr>
          <w:rFonts w:hint="eastAsia" w:asciiTheme="minorEastAsia" w:hAnsiTheme="minorEastAsia" w:eastAsiaTheme="minorEastAsia" w:cstheme="minorEastAsia"/>
          <w:color w:val="auto"/>
        </w:rPr>
        <w:t>仪器：磁定位</w:t>
      </w:r>
      <w:r>
        <w:rPr>
          <w:rFonts w:hint="eastAsia" w:asciiTheme="minorEastAsia" w:hAnsiTheme="minorEastAsia" w:eastAsiaTheme="minorEastAsia" w:cstheme="minorEastAsia"/>
          <w:color w:val="auto"/>
          <w:lang w:eastAsia="zh-CN"/>
        </w:rPr>
        <w:t>。</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lang w:eastAsia="zh-CN"/>
        </w:rPr>
      </w:pPr>
      <w:r>
        <w:rPr>
          <w:rFonts w:hint="eastAsia" w:asciiTheme="minorEastAsia" w:hAnsiTheme="minorEastAsia" w:eastAsiaTheme="minorEastAsia" w:cstheme="minorEastAsia"/>
          <w:color w:val="auto"/>
          <w:lang w:val="en-US" w:eastAsia="zh-CN"/>
        </w:rPr>
        <w:t>4.</w:t>
      </w:r>
      <w:r>
        <w:rPr>
          <w:rFonts w:hint="eastAsia" w:asciiTheme="minorEastAsia" w:hAnsiTheme="minorEastAsia" w:eastAsiaTheme="minorEastAsia" w:cstheme="minorEastAsia"/>
          <w:color w:val="auto"/>
        </w:rPr>
        <w:t>安全选发射孔面板：sever3000选发控制面</w:t>
      </w:r>
      <w:r>
        <w:rPr>
          <w:rFonts w:hint="eastAsia" w:asciiTheme="minorEastAsia" w:hAnsiTheme="minorEastAsia" w:eastAsiaTheme="minorEastAsia" w:cstheme="minorEastAsia"/>
          <w:color w:val="auto"/>
          <w:lang w:eastAsia="zh-CN"/>
        </w:rPr>
        <w:t>。</w:t>
      </w:r>
    </w:p>
    <w:p>
      <w:pPr>
        <w:pStyle w:val="57"/>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lang w:val="en-US" w:eastAsia="zh-CN"/>
        </w:rPr>
        <w:t>5.</w:t>
      </w:r>
      <w:r>
        <w:rPr>
          <w:rFonts w:hint="eastAsia" w:asciiTheme="minorEastAsia" w:hAnsiTheme="minorEastAsia" w:eastAsiaTheme="minorEastAsia" w:cstheme="minorEastAsia"/>
          <w:color w:val="auto"/>
        </w:rPr>
        <w:t>电缆防喷装置：DLFP12-70型，防喷管连接长度：12m；防喷管通径：Φ120mm，额定工作压力：70MPa。该防喷装置连接顺序</w:t>
      </w:r>
      <w:r>
        <w:rPr>
          <w:rFonts w:hint="eastAsia" w:asciiTheme="minorEastAsia" w:hAnsiTheme="minorEastAsia" w:eastAsiaTheme="minorEastAsia" w:cstheme="minorEastAsia"/>
          <w:color w:val="auto"/>
          <w:lang w:val="en-US" w:eastAsia="zh-CN"/>
        </w:rPr>
        <w:t>见表2-6-8</w:t>
      </w:r>
      <w:r>
        <w:rPr>
          <w:rFonts w:hint="eastAsia" w:asciiTheme="minorEastAsia" w:hAnsiTheme="minorEastAsia" w:eastAsiaTheme="minorEastAsia" w:cstheme="minorEastAsia"/>
          <w:color w:val="auto"/>
        </w:rPr>
        <w:t>。</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2-6-8</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 xml:space="preserve"> DLFP12-70型电缆防喷装置连接顺序</w:t>
      </w:r>
      <w:r>
        <w:rPr>
          <w:rFonts w:hint="eastAsia" w:ascii="楷体_GB2312" w:hAnsi="楷体_GB2312" w:eastAsia="楷体_GB2312" w:cs="楷体_GB2312"/>
          <w:color w:val="auto"/>
          <w:lang w:val="en-US" w:eastAsia="zh-CN"/>
        </w:rPr>
        <w:t>表</w:t>
      </w:r>
    </w:p>
    <w:tbl>
      <w:tblPr>
        <w:tblStyle w:val="25"/>
        <w:tblW w:w="4996"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587"/>
        <w:gridCol w:w="1818"/>
        <w:gridCol w:w="2758"/>
        <w:gridCol w:w="884"/>
        <w:gridCol w:w="929"/>
        <w:gridCol w:w="921"/>
        <w:gridCol w:w="138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10" w:hRule="atLeast"/>
          <w:jc w:val="center"/>
        </w:trPr>
        <w:tc>
          <w:tcPr>
            <w:tcW w:w="31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序号</w:t>
            </w:r>
          </w:p>
        </w:tc>
        <w:tc>
          <w:tcPr>
            <w:tcW w:w="979"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示意图</w:t>
            </w:r>
          </w:p>
        </w:tc>
        <w:tc>
          <w:tcPr>
            <w:tcW w:w="148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名称</w:t>
            </w:r>
          </w:p>
        </w:tc>
        <w:tc>
          <w:tcPr>
            <w:tcW w:w="47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通径（mm）</w:t>
            </w:r>
          </w:p>
        </w:tc>
        <w:tc>
          <w:tcPr>
            <w:tcW w:w="500"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长度（m）</w:t>
            </w:r>
          </w:p>
        </w:tc>
        <w:tc>
          <w:tcPr>
            <w:tcW w:w="49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质量（</w:t>
            </w:r>
            <w:r>
              <w:rPr>
                <w:rFonts w:hint="eastAsia" w:ascii="楷体_GB2312" w:hAnsi="楷体_GB2312" w:eastAsia="楷体_GB2312" w:cs="楷体_GB2312"/>
                <w:color w:val="auto"/>
                <w:sz w:val="21"/>
                <w:szCs w:val="21"/>
                <w:lang w:val="en-US" w:eastAsia="zh-CN"/>
              </w:rPr>
              <w:t>k</w:t>
            </w:r>
            <w:r>
              <w:rPr>
                <w:rFonts w:hint="eastAsia" w:ascii="楷体_GB2312" w:hAnsi="楷体_GB2312" w:eastAsia="楷体_GB2312" w:cs="楷体_GB2312"/>
                <w:color w:val="auto"/>
                <w:sz w:val="21"/>
                <w:szCs w:val="21"/>
                <w:lang w:val="zh-CN"/>
              </w:rPr>
              <w:t>g）</w:t>
            </w:r>
          </w:p>
        </w:tc>
        <w:tc>
          <w:tcPr>
            <w:tcW w:w="74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cantSplit/>
          <w:trHeight w:val="510" w:hRule="atLeast"/>
          <w:jc w:val="center"/>
        </w:trPr>
        <w:tc>
          <w:tcPr>
            <w:tcW w:w="316" w:type="pct"/>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1</w:t>
            </w:r>
          </w:p>
        </w:tc>
        <w:tc>
          <w:tcPr>
            <w:tcW w:w="979" w:type="pct"/>
            <w:vMerge w:val="restart"/>
            <w:tcBorders>
              <w:lef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drawing>
                <wp:inline distT="0" distB="0" distL="0" distR="0">
                  <wp:extent cx="756285" cy="2427605"/>
                  <wp:effectExtent l="0" t="0" r="5715" b="10795"/>
                  <wp:docPr id="5" name="图片 5" descr="QQ图片2014110510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QQ图片20141105105904"/>
                          <pic:cNvPicPr>
                            <a:picLocks noChangeAspect="1" noChangeArrowheads="1"/>
                          </pic:cNvPicPr>
                        </pic:nvPicPr>
                        <pic:blipFill>
                          <a:blip r:embed="rId121" cstate="print"/>
                          <a:srcRect/>
                          <a:stretch>
                            <a:fillRect/>
                          </a:stretch>
                        </pic:blipFill>
                        <pic:spPr>
                          <a:xfrm>
                            <a:off x="0" y="0"/>
                            <a:ext cx="756285" cy="2427605"/>
                          </a:xfrm>
                          <a:prstGeom prst="rect">
                            <a:avLst/>
                          </a:prstGeom>
                          <a:noFill/>
                          <a:ln w="9525">
                            <a:noFill/>
                            <a:miter lim="800000"/>
                            <a:headEnd/>
                            <a:tailEnd/>
                          </a:ln>
                        </pic:spPr>
                      </pic:pic>
                    </a:graphicData>
                  </a:graphic>
                </wp:inline>
              </w:drawing>
            </w:r>
          </w:p>
        </w:tc>
        <w:tc>
          <w:tcPr>
            <w:tcW w:w="148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FPY7-70注脂密封控制头</w:t>
            </w:r>
          </w:p>
        </w:tc>
        <w:tc>
          <w:tcPr>
            <w:tcW w:w="47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8.1</w:t>
            </w:r>
          </w:p>
        </w:tc>
        <w:tc>
          <w:tcPr>
            <w:tcW w:w="500"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3.5</w:t>
            </w:r>
          </w:p>
        </w:tc>
        <w:tc>
          <w:tcPr>
            <w:tcW w:w="49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170</w:t>
            </w:r>
          </w:p>
        </w:tc>
        <w:tc>
          <w:tcPr>
            <w:tcW w:w="74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5</w:t>
            </w:r>
            <w:r>
              <w:rPr>
                <w:rFonts w:hint="eastAsia" w:ascii="楷体_GB2312" w:hAnsi="楷体_GB2312" w:eastAsia="楷体_GB2312" w:cs="楷体_GB2312"/>
                <w:color w:val="auto"/>
                <w:sz w:val="21"/>
                <w:szCs w:val="21"/>
                <w:lang w:val="zh-CN"/>
              </w:rPr>
              <w:t>根阻流管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cantSplit/>
          <w:trHeight w:val="510" w:hRule="atLeast"/>
          <w:jc w:val="center"/>
        </w:trPr>
        <w:tc>
          <w:tcPr>
            <w:tcW w:w="316" w:type="pct"/>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2</w:t>
            </w:r>
          </w:p>
        </w:tc>
        <w:tc>
          <w:tcPr>
            <w:tcW w:w="979" w:type="pct"/>
            <w:vMerge w:val="continue"/>
            <w:tcBorders>
              <w:lef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c>
          <w:tcPr>
            <w:tcW w:w="148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FPG12-70防喷管</w:t>
            </w:r>
          </w:p>
        </w:tc>
        <w:tc>
          <w:tcPr>
            <w:tcW w:w="47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120</w:t>
            </w:r>
          </w:p>
        </w:tc>
        <w:tc>
          <w:tcPr>
            <w:tcW w:w="500"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12.0</w:t>
            </w:r>
          </w:p>
        </w:tc>
        <w:tc>
          <w:tcPr>
            <w:tcW w:w="49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1110</w:t>
            </w:r>
          </w:p>
        </w:tc>
        <w:tc>
          <w:tcPr>
            <w:tcW w:w="74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2m×6</w:t>
            </w:r>
            <w:r>
              <w:rPr>
                <w:rFonts w:hint="eastAsia" w:ascii="楷体_GB2312" w:hAnsi="楷体_GB2312" w:eastAsia="楷体_GB2312" w:cs="楷体_GB2312"/>
                <w:color w:val="auto"/>
                <w:sz w:val="21"/>
                <w:szCs w:val="21"/>
                <w:lang w:val="zh-CN"/>
              </w:rPr>
              <w:t>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cantSplit/>
          <w:trHeight w:val="510" w:hRule="atLeast"/>
          <w:jc w:val="center"/>
        </w:trPr>
        <w:tc>
          <w:tcPr>
            <w:tcW w:w="316" w:type="pct"/>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3</w:t>
            </w:r>
          </w:p>
        </w:tc>
        <w:tc>
          <w:tcPr>
            <w:tcW w:w="979" w:type="pct"/>
            <w:vMerge w:val="continue"/>
            <w:tcBorders>
              <w:lef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c>
          <w:tcPr>
            <w:tcW w:w="148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YXBZ12-70液控下捕捉器</w:t>
            </w:r>
          </w:p>
        </w:tc>
        <w:tc>
          <w:tcPr>
            <w:tcW w:w="47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120</w:t>
            </w:r>
          </w:p>
        </w:tc>
        <w:tc>
          <w:tcPr>
            <w:tcW w:w="500"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1.2</w:t>
            </w:r>
          </w:p>
        </w:tc>
        <w:tc>
          <w:tcPr>
            <w:tcW w:w="49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143</w:t>
            </w:r>
          </w:p>
        </w:tc>
        <w:tc>
          <w:tcPr>
            <w:tcW w:w="74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cantSplit/>
          <w:trHeight w:val="510" w:hRule="atLeast"/>
          <w:jc w:val="center"/>
        </w:trPr>
        <w:tc>
          <w:tcPr>
            <w:tcW w:w="316" w:type="pct"/>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4</w:t>
            </w:r>
          </w:p>
        </w:tc>
        <w:tc>
          <w:tcPr>
            <w:tcW w:w="979" w:type="pct"/>
            <w:vMerge w:val="continue"/>
            <w:tcBorders>
              <w:lef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c>
          <w:tcPr>
            <w:tcW w:w="148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FP12-70循环三通</w:t>
            </w:r>
          </w:p>
        </w:tc>
        <w:tc>
          <w:tcPr>
            <w:tcW w:w="47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120</w:t>
            </w:r>
          </w:p>
        </w:tc>
        <w:tc>
          <w:tcPr>
            <w:tcW w:w="500"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1.13</w:t>
            </w:r>
          </w:p>
        </w:tc>
        <w:tc>
          <w:tcPr>
            <w:tcW w:w="49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95</w:t>
            </w:r>
          </w:p>
        </w:tc>
        <w:tc>
          <w:tcPr>
            <w:tcW w:w="74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cantSplit/>
          <w:trHeight w:val="510" w:hRule="atLeast"/>
          <w:jc w:val="center"/>
        </w:trPr>
        <w:tc>
          <w:tcPr>
            <w:tcW w:w="316" w:type="pct"/>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5</w:t>
            </w:r>
          </w:p>
        </w:tc>
        <w:tc>
          <w:tcPr>
            <w:tcW w:w="979" w:type="pct"/>
            <w:vMerge w:val="continue"/>
            <w:tcBorders>
              <w:lef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c>
          <w:tcPr>
            <w:tcW w:w="148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2FZ12-70液控双闸板防喷器</w:t>
            </w:r>
          </w:p>
        </w:tc>
        <w:tc>
          <w:tcPr>
            <w:tcW w:w="47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120</w:t>
            </w:r>
          </w:p>
        </w:tc>
        <w:tc>
          <w:tcPr>
            <w:tcW w:w="500"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1.13</w:t>
            </w:r>
          </w:p>
        </w:tc>
        <w:tc>
          <w:tcPr>
            <w:tcW w:w="496"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580</w:t>
            </w:r>
          </w:p>
        </w:tc>
        <w:tc>
          <w:tcPr>
            <w:tcW w:w="745" w:type="pct"/>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cantSplit/>
          <w:trHeight w:val="510" w:hRule="atLeast"/>
          <w:jc w:val="center"/>
        </w:trPr>
        <w:tc>
          <w:tcPr>
            <w:tcW w:w="316" w:type="pct"/>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6</w:t>
            </w:r>
          </w:p>
        </w:tc>
        <w:tc>
          <w:tcPr>
            <w:tcW w:w="979" w:type="pct"/>
            <w:vMerge w:val="continue"/>
            <w:tcBorders>
              <w:lef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c>
          <w:tcPr>
            <w:tcW w:w="1485" w:type="pct"/>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井口转换法兰</w:t>
            </w:r>
          </w:p>
        </w:tc>
        <w:tc>
          <w:tcPr>
            <w:tcW w:w="476"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w:t>
            </w:r>
            <w:r>
              <w:rPr>
                <w:rFonts w:hint="eastAsia" w:ascii="楷体_GB2312" w:hAnsi="楷体_GB2312" w:eastAsia="楷体_GB2312" w:cs="楷体_GB2312"/>
                <w:color w:val="auto"/>
                <w:sz w:val="21"/>
                <w:szCs w:val="21"/>
              </w:rPr>
              <w:t>3</w:t>
            </w:r>
            <w:r>
              <w:rPr>
                <w:rFonts w:hint="eastAsia" w:ascii="楷体_GB2312" w:hAnsi="楷体_GB2312" w:eastAsia="楷体_GB2312" w:cs="楷体_GB2312"/>
                <w:color w:val="auto"/>
                <w:sz w:val="21"/>
                <w:szCs w:val="21"/>
                <w:lang w:val="zh-CN"/>
              </w:rPr>
              <w:t>0</w:t>
            </w:r>
          </w:p>
        </w:tc>
        <w:tc>
          <w:tcPr>
            <w:tcW w:w="500"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0.5</w:t>
            </w:r>
          </w:p>
        </w:tc>
        <w:tc>
          <w:tcPr>
            <w:tcW w:w="496"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334</w:t>
            </w:r>
          </w:p>
        </w:tc>
        <w:tc>
          <w:tcPr>
            <w:tcW w:w="745"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BX169钢圈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10" w:hRule="atLeast"/>
          <w:jc w:val="center"/>
        </w:trPr>
        <w:tc>
          <w:tcPr>
            <w:tcW w:w="2780" w:type="pct"/>
            <w:gridSpan w:val="3"/>
            <w:tcBorders>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合计</w:t>
            </w:r>
          </w:p>
        </w:tc>
        <w:tc>
          <w:tcPr>
            <w:tcW w:w="476"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c>
          <w:tcPr>
            <w:tcW w:w="500"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19.46</w:t>
            </w:r>
          </w:p>
        </w:tc>
        <w:tc>
          <w:tcPr>
            <w:tcW w:w="496"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2432</w:t>
            </w:r>
          </w:p>
        </w:tc>
        <w:tc>
          <w:tcPr>
            <w:tcW w:w="745" w:type="pct"/>
            <w:tcBorders>
              <w:left w:val="single" w:color="auto" w:sz="4" w:space="0"/>
              <w:right w:val="single" w:color="auto" w:sz="4" w:space="0"/>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bl>
    <w:p>
      <w:pPr>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Theme="minorEastAsia" w:hAnsiTheme="minorEastAsia" w:eastAsiaTheme="minorEastAsia" w:cstheme="minorEastAsia"/>
          <w:color w:val="auto"/>
          <w:kern w:val="2"/>
          <w:sz w:val="24"/>
          <w:szCs w:val="24"/>
          <w:lang w:val="en-US" w:eastAsia="zh-CN" w:bidi="ar-SA"/>
        </w:rPr>
      </w:pPr>
      <w:r>
        <w:rPr>
          <w:rFonts w:hint="eastAsia" w:asciiTheme="minorEastAsia" w:hAnsiTheme="minorEastAsia" w:eastAsiaTheme="minorEastAsia" w:cstheme="minorEastAsia"/>
          <w:color w:val="auto"/>
          <w:kern w:val="2"/>
          <w:sz w:val="24"/>
          <w:szCs w:val="24"/>
          <w:lang w:val="en-US" w:eastAsia="zh-CN" w:bidi="ar-SA"/>
        </w:rPr>
        <w:t>注：DLFP12-70型电缆防喷装置连接顺序可根据现场实际情况调整。</w:t>
      </w:r>
      <w:bookmarkStart w:id="169" w:name="_Toc23715"/>
      <w:bookmarkStart w:id="170" w:name="_Toc25179"/>
    </w:p>
    <w:p>
      <w:pPr>
        <w:pStyle w:val="57"/>
        <w:bidi w:val="0"/>
        <w:rPr>
          <w:rFonts w:hint="eastAsia" w:asciiTheme="minorEastAsia" w:hAnsiTheme="minorEastAsia" w:eastAsiaTheme="minorEastAsia" w:cstheme="minorEastAsia"/>
          <w:color w:val="auto"/>
          <w:lang w:val="en-US" w:eastAsia="zh-CN"/>
        </w:rPr>
      </w:pPr>
      <w:bookmarkStart w:id="171" w:name="_Toc200569893"/>
      <w:r>
        <w:rPr>
          <w:rFonts w:hint="eastAsia" w:asciiTheme="minorEastAsia" w:hAnsiTheme="minorEastAsia" w:eastAsiaTheme="minorEastAsia" w:cstheme="minorEastAsia"/>
          <w:color w:val="auto"/>
          <w:lang w:val="en-US" w:eastAsia="zh-CN"/>
        </w:rPr>
        <w:t>（六）井下耗材</w:t>
      </w:r>
      <w:bookmarkEnd w:id="169"/>
      <w:bookmarkEnd w:id="170"/>
      <w:bookmarkEnd w:id="171"/>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2-6-9</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 xml:space="preserve"> 主要井下耗材</w:t>
      </w:r>
    </w:p>
    <w:tbl>
      <w:tblPr>
        <w:tblStyle w:val="25"/>
        <w:tblW w:w="499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73"/>
        <w:gridCol w:w="1582"/>
        <w:gridCol w:w="2182"/>
        <w:gridCol w:w="1250"/>
        <w:gridCol w:w="1547"/>
        <w:gridCol w:w="154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序号</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名称</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型号</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数量</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性能指标</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射孔枪</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89-16DP-60-105</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35</w:t>
            </w:r>
            <w:r>
              <w:rPr>
                <w:rFonts w:hint="eastAsia" w:ascii="楷体_GB2312" w:hAnsi="楷体_GB2312" w:eastAsia="楷体_GB2312" w:cs="楷体_GB2312"/>
                <w:color w:val="auto"/>
                <w:sz w:val="21"/>
                <w:szCs w:val="21"/>
                <w:lang w:val="en-US" w:eastAsia="zh-CN"/>
              </w:rPr>
              <w:t>m</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70</w:t>
            </w:r>
            <w:r>
              <w:rPr>
                <w:rFonts w:hint="eastAsia" w:ascii="楷体_GB2312" w:hAnsi="楷体_GB2312" w:eastAsia="楷体_GB2312" w:cs="楷体_GB2312"/>
                <w:color w:val="auto"/>
                <w:sz w:val="21"/>
                <w:szCs w:val="21"/>
                <w:lang w:val="zh-CN"/>
              </w:rPr>
              <w:t>MPa</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射孔弹</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SDP41RDX25-2</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420</w:t>
            </w:r>
            <w:r>
              <w:rPr>
                <w:rFonts w:hint="eastAsia" w:ascii="楷体_GB2312" w:hAnsi="楷体_GB2312" w:eastAsia="楷体_GB2312" w:cs="楷体_GB2312"/>
                <w:color w:val="auto"/>
                <w:sz w:val="21"/>
                <w:szCs w:val="21"/>
                <w:lang w:val="zh-CN"/>
              </w:rPr>
              <w:t>发</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lang w:val="zh-CN"/>
              </w:rPr>
              <w:t>1</w:t>
            </w:r>
            <w:r>
              <w:rPr>
                <w:rFonts w:hint="eastAsia" w:ascii="楷体_GB2312" w:hAnsi="楷体_GB2312" w:eastAsia="楷体_GB2312" w:cs="楷体_GB2312"/>
                <w:color w:val="auto"/>
                <w:sz w:val="21"/>
                <w:szCs w:val="21"/>
              </w:rPr>
              <w:t>21</w:t>
            </w:r>
            <w:r>
              <w:rPr>
                <w:rFonts w:hint="eastAsia" w:ascii="楷体_GB2312" w:hAnsi="楷体_GB2312" w:eastAsia="楷体_GB2312" w:cs="楷体_GB2312"/>
                <w:color w:val="auto"/>
                <w:sz w:val="21"/>
                <w:szCs w:val="21"/>
                <w:lang w:val="zh-CN"/>
              </w:rPr>
              <w:t>℃/4h</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3</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导爆索</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80RDX Φ</w:t>
            </w:r>
            <w:r>
              <w:rPr>
                <w:rFonts w:hint="eastAsia" w:ascii="楷体_GB2312" w:hAnsi="楷体_GB2312" w:eastAsia="楷体_GB2312" w:cs="楷体_GB2312"/>
                <w:color w:val="auto"/>
                <w:sz w:val="21"/>
                <w:szCs w:val="21"/>
              </w:rPr>
              <w:t>5.3</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eastAsia="zh-CN"/>
              </w:rPr>
            </w:pPr>
            <w:r>
              <w:rPr>
                <w:rFonts w:hint="eastAsia" w:ascii="楷体_GB2312" w:hAnsi="楷体_GB2312" w:eastAsia="楷体_GB2312" w:cs="楷体_GB2312"/>
                <w:color w:val="auto"/>
                <w:sz w:val="21"/>
                <w:szCs w:val="21"/>
              </w:rPr>
              <w:t>45</w:t>
            </w:r>
            <w:r>
              <w:rPr>
                <w:rFonts w:hint="eastAsia" w:ascii="楷体_GB2312" w:hAnsi="楷体_GB2312" w:eastAsia="楷体_GB2312" w:cs="楷体_GB2312"/>
                <w:color w:val="auto"/>
                <w:sz w:val="21"/>
                <w:szCs w:val="21"/>
                <w:lang w:val="en-US" w:eastAsia="zh-CN"/>
              </w:rPr>
              <w:t>m</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w:t>
            </w:r>
            <w:r>
              <w:rPr>
                <w:rFonts w:hint="eastAsia" w:ascii="楷体_GB2312" w:hAnsi="楷体_GB2312" w:eastAsia="楷体_GB2312" w:cs="楷体_GB2312"/>
                <w:color w:val="auto"/>
                <w:sz w:val="21"/>
                <w:szCs w:val="21"/>
              </w:rPr>
              <w:t>21</w:t>
            </w:r>
            <w:r>
              <w:rPr>
                <w:rFonts w:hint="eastAsia" w:ascii="楷体_GB2312" w:hAnsi="楷体_GB2312" w:eastAsia="楷体_GB2312" w:cs="楷体_GB2312"/>
                <w:color w:val="auto"/>
                <w:sz w:val="21"/>
                <w:szCs w:val="21"/>
                <w:lang w:val="zh-CN"/>
              </w:rPr>
              <w:t>℃/4h</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eastAsia="zh-CN"/>
              </w:rPr>
            </w:pPr>
            <w:r>
              <w:rPr>
                <w:rFonts w:hint="eastAsia" w:ascii="楷体_GB2312" w:hAnsi="楷体_GB2312" w:eastAsia="楷体_GB2312" w:cs="楷体_GB2312"/>
                <w:color w:val="auto"/>
                <w:sz w:val="21"/>
                <w:szCs w:val="21"/>
                <w:lang w:val="en-US" w:eastAsia="zh-CN"/>
              </w:rPr>
              <w:t>4</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雷管</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DET-3050-084</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45发</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w:t>
            </w:r>
            <w:r>
              <w:rPr>
                <w:rFonts w:hint="eastAsia" w:ascii="楷体_GB2312" w:hAnsi="楷体_GB2312" w:eastAsia="楷体_GB2312" w:cs="楷体_GB2312"/>
                <w:color w:val="auto"/>
                <w:sz w:val="21"/>
                <w:szCs w:val="21"/>
              </w:rPr>
              <w:t>75</w:t>
            </w:r>
            <w:r>
              <w:rPr>
                <w:rFonts w:hint="eastAsia" w:ascii="楷体_GB2312" w:hAnsi="楷体_GB2312" w:eastAsia="楷体_GB2312" w:cs="楷体_GB2312"/>
                <w:color w:val="auto"/>
                <w:sz w:val="21"/>
                <w:szCs w:val="21"/>
                <w:lang w:val="zh-CN"/>
              </w:rPr>
              <w:t>℃</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eastAsia="zh-CN"/>
              </w:rPr>
            </w:pPr>
            <w:r>
              <w:rPr>
                <w:rFonts w:hint="eastAsia" w:ascii="楷体_GB2312" w:hAnsi="楷体_GB2312" w:eastAsia="楷体_GB2312" w:cs="楷体_GB2312"/>
                <w:color w:val="auto"/>
                <w:sz w:val="21"/>
                <w:szCs w:val="21"/>
                <w:lang w:val="en-US" w:eastAsia="zh-CN"/>
              </w:rPr>
              <w:t>5</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二极管</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EBPS</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45个</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w:t>
            </w:r>
            <w:r>
              <w:rPr>
                <w:rFonts w:hint="eastAsia" w:ascii="楷体_GB2312" w:hAnsi="楷体_GB2312" w:eastAsia="楷体_GB2312" w:cs="楷体_GB2312"/>
                <w:color w:val="auto"/>
                <w:sz w:val="21"/>
                <w:szCs w:val="21"/>
              </w:rPr>
              <w:t>75</w:t>
            </w:r>
            <w:r>
              <w:rPr>
                <w:rFonts w:hint="eastAsia" w:ascii="楷体_GB2312" w:hAnsi="楷体_GB2312" w:eastAsia="楷体_GB2312" w:cs="楷体_GB2312"/>
                <w:color w:val="auto"/>
                <w:sz w:val="21"/>
                <w:szCs w:val="21"/>
                <w:lang w:val="zh-CN"/>
              </w:rPr>
              <w:t>℃</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eastAsia="zh-CN"/>
              </w:rPr>
            </w:pPr>
            <w:r>
              <w:rPr>
                <w:rFonts w:hint="eastAsia" w:ascii="楷体_GB2312" w:hAnsi="楷体_GB2312" w:eastAsia="楷体_GB2312" w:cs="楷体_GB2312"/>
                <w:color w:val="auto"/>
                <w:sz w:val="21"/>
                <w:szCs w:val="21"/>
                <w:lang w:val="en-US" w:eastAsia="zh-CN"/>
              </w:rPr>
              <w:t>6</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压力开关</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EBS-P+EBS-N</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45个</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w:t>
            </w:r>
            <w:r>
              <w:rPr>
                <w:rFonts w:hint="eastAsia" w:ascii="楷体_GB2312" w:hAnsi="楷体_GB2312" w:eastAsia="楷体_GB2312" w:cs="楷体_GB2312"/>
                <w:color w:val="auto"/>
                <w:sz w:val="21"/>
                <w:szCs w:val="21"/>
              </w:rPr>
              <w:t>75</w:t>
            </w:r>
            <w:r>
              <w:rPr>
                <w:rFonts w:hint="eastAsia" w:ascii="楷体_GB2312" w:hAnsi="楷体_GB2312" w:eastAsia="楷体_GB2312" w:cs="楷体_GB2312"/>
                <w:color w:val="auto"/>
                <w:sz w:val="21"/>
                <w:szCs w:val="21"/>
                <w:lang w:val="zh-CN"/>
              </w:rPr>
              <w:t>℃/</w:t>
            </w:r>
            <w:r>
              <w:rPr>
                <w:rFonts w:hint="eastAsia" w:ascii="楷体_GB2312" w:hAnsi="楷体_GB2312" w:eastAsia="楷体_GB2312" w:cs="楷体_GB2312"/>
                <w:color w:val="auto"/>
                <w:sz w:val="21"/>
                <w:szCs w:val="21"/>
              </w:rPr>
              <w:t>4</w:t>
            </w:r>
            <w:r>
              <w:rPr>
                <w:rFonts w:hint="eastAsia" w:ascii="楷体_GB2312" w:hAnsi="楷体_GB2312" w:eastAsia="楷体_GB2312" w:cs="楷体_GB2312"/>
                <w:color w:val="auto"/>
                <w:sz w:val="21"/>
                <w:szCs w:val="21"/>
                <w:lang w:val="zh-CN"/>
              </w:rPr>
              <w:t>h</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eastAsia="zh-CN"/>
              </w:rPr>
            </w:pPr>
            <w:r>
              <w:rPr>
                <w:rFonts w:hint="eastAsia" w:ascii="楷体_GB2312" w:hAnsi="楷体_GB2312" w:eastAsia="楷体_GB2312" w:cs="楷体_GB2312"/>
                <w:color w:val="auto"/>
                <w:sz w:val="21"/>
                <w:szCs w:val="21"/>
                <w:lang w:val="en-US" w:eastAsia="zh-CN"/>
              </w:rPr>
              <w:t>7</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一级火药</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PUR-6000-200</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11个</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175℃/</w:t>
            </w:r>
            <w:r>
              <w:rPr>
                <w:rFonts w:hint="eastAsia" w:ascii="楷体_GB2312" w:hAnsi="楷体_GB2312" w:eastAsia="楷体_GB2312" w:cs="楷体_GB2312"/>
                <w:color w:val="auto"/>
                <w:sz w:val="21"/>
                <w:szCs w:val="21"/>
              </w:rPr>
              <w:t>4</w:t>
            </w:r>
            <w:r>
              <w:rPr>
                <w:rFonts w:hint="eastAsia" w:ascii="楷体_GB2312" w:hAnsi="楷体_GB2312" w:eastAsia="楷体_GB2312" w:cs="楷体_GB2312"/>
                <w:color w:val="auto"/>
                <w:sz w:val="21"/>
                <w:szCs w:val="21"/>
                <w:lang w:val="zh-CN"/>
              </w:rPr>
              <w:t>h</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eastAsia="zh-CN"/>
              </w:rPr>
            </w:pPr>
            <w:r>
              <w:rPr>
                <w:rFonts w:hint="eastAsia" w:ascii="楷体_GB2312" w:hAnsi="楷体_GB2312" w:eastAsia="楷体_GB2312" w:cs="楷体_GB2312"/>
                <w:color w:val="auto"/>
                <w:sz w:val="21"/>
                <w:szCs w:val="21"/>
                <w:lang w:val="en-US" w:eastAsia="zh-CN"/>
              </w:rPr>
              <w:t>8</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二级火药</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PUR-6000-102</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11个</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175℃/</w:t>
            </w:r>
            <w:r>
              <w:rPr>
                <w:rFonts w:hint="eastAsia" w:ascii="楷体_GB2312" w:hAnsi="楷体_GB2312" w:eastAsia="楷体_GB2312" w:cs="楷体_GB2312"/>
                <w:color w:val="auto"/>
                <w:sz w:val="21"/>
                <w:szCs w:val="21"/>
              </w:rPr>
              <w:t>4</w:t>
            </w:r>
            <w:r>
              <w:rPr>
                <w:rFonts w:hint="eastAsia" w:ascii="楷体_GB2312" w:hAnsi="楷体_GB2312" w:eastAsia="楷体_GB2312" w:cs="楷体_GB2312"/>
                <w:color w:val="auto"/>
                <w:sz w:val="21"/>
                <w:szCs w:val="21"/>
                <w:lang w:val="zh-CN"/>
              </w:rPr>
              <w:t>h</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eastAsia="zh-CN"/>
              </w:rPr>
            </w:pPr>
            <w:r>
              <w:rPr>
                <w:rFonts w:hint="eastAsia" w:ascii="楷体_GB2312" w:hAnsi="楷体_GB2312" w:eastAsia="楷体_GB2312" w:cs="楷体_GB2312"/>
                <w:color w:val="auto"/>
                <w:sz w:val="21"/>
                <w:szCs w:val="21"/>
                <w:lang w:val="en-US" w:eastAsia="zh-CN"/>
              </w:rPr>
              <w:t>9</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三级火药</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rPr>
              <w:t>PUR-6000-105</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11个</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175℃/</w:t>
            </w:r>
            <w:r>
              <w:rPr>
                <w:rFonts w:hint="eastAsia" w:ascii="楷体_GB2312" w:hAnsi="楷体_GB2312" w:eastAsia="楷体_GB2312" w:cs="楷体_GB2312"/>
                <w:color w:val="auto"/>
                <w:sz w:val="21"/>
                <w:szCs w:val="21"/>
              </w:rPr>
              <w:t>4</w:t>
            </w:r>
            <w:r>
              <w:rPr>
                <w:rFonts w:hint="eastAsia" w:ascii="楷体_GB2312" w:hAnsi="楷体_GB2312" w:eastAsia="楷体_GB2312" w:cs="楷体_GB2312"/>
                <w:color w:val="auto"/>
                <w:sz w:val="21"/>
                <w:szCs w:val="21"/>
                <w:lang w:val="zh-CN"/>
              </w:rPr>
              <w:t>h</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10</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四级火药</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PUR-6000-108</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11个</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lang w:val="zh-CN"/>
              </w:rPr>
              <w:t>175℃/</w:t>
            </w:r>
            <w:r>
              <w:rPr>
                <w:rFonts w:hint="eastAsia" w:ascii="楷体_GB2312" w:hAnsi="楷体_GB2312" w:eastAsia="楷体_GB2312" w:cs="楷体_GB2312"/>
                <w:color w:val="auto"/>
                <w:sz w:val="21"/>
                <w:szCs w:val="21"/>
              </w:rPr>
              <w:t>4</w:t>
            </w:r>
            <w:r>
              <w:rPr>
                <w:rFonts w:hint="eastAsia" w:ascii="楷体_GB2312" w:hAnsi="楷体_GB2312" w:eastAsia="楷体_GB2312" w:cs="楷体_GB2312"/>
                <w:color w:val="auto"/>
                <w:sz w:val="21"/>
                <w:szCs w:val="21"/>
                <w:lang w:val="zh-CN"/>
              </w:rPr>
              <w:t>h</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32" w:type="pct"/>
            <w:tcBorders>
              <w:tl2br w:val="nil"/>
              <w:tr2bl w:val="nil"/>
            </w:tcBorders>
            <w:shd w:val="clear" w:color="000000" w:fill="FFFFFF"/>
            <w:vAlign w:val="center"/>
          </w:tcPr>
          <w:p>
            <w:pPr>
              <w:autoSpaceDE w:val="0"/>
              <w:autoSpaceDN w:val="0"/>
              <w:spacing w:line="240" w:lineRule="auto"/>
              <w:ind w:firstLine="0" w:firstLineChars="0"/>
              <w:jc w:val="center"/>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11</w:t>
            </w:r>
          </w:p>
        </w:tc>
        <w:tc>
          <w:tcPr>
            <w:tcW w:w="852"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lang w:val="zh-CN"/>
              </w:rPr>
            </w:pPr>
            <w:r>
              <w:rPr>
                <w:rFonts w:hint="eastAsia" w:ascii="楷体_GB2312" w:hAnsi="楷体_GB2312" w:eastAsia="楷体_GB2312" w:cs="楷体_GB2312"/>
                <w:color w:val="auto"/>
                <w:sz w:val="21"/>
                <w:szCs w:val="21"/>
                <w:lang w:val="zh-CN"/>
              </w:rPr>
              <w:t>桥塞</w:t>
            </w:r>
          </w:p>
        </w:tc>
        <w:tc>
          <w:tcPr>
            <w:tcW w:w="1175"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大通径可溶球桥塞</w:t>
            </w:r>
          </w:p>
        </w:tc>
        <w:tc>
          <w:tcPr>
            <w:tcW w:w="67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r>
              <w:rPr>
                <w:rFonts w:hint="eastAsia" w:ascii="楷体_GB2312" w:hAnsi="楷体_GB2312" w:eastAsia="楷体_GB2312" w:cs="楷体_GB2312"/>
                <w:color w:val="auto"/>
                <w:sz w:val="21"/>
                <w:szCs w:val="21"/>
                <w:lang w:val="en-US" w:eastAsia="zh-CN"/>
              </w:rPr>
              <w:t>0</w:t>
            </w:r>
            <w:r>
              <w:rPr>
                <w:rFonts w:hint="eastAsia" w:ascii="楷体_GB2312" w:hAnsi="楷体_GB2312" w:eastAsia="楷体_GB2312" w:cs="楷体_GB2312"/>
                <w:color w:val="auto"/>
                <w:sz w:val="21"/>
                <w:szCs w:val="21"/>
              </w:rPr>
              <w:t>个</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耐压差70MPa</w:t>
            </w:r>
          </w:p>
        </w:tc>
        <w:tc>
          <w:tcPr>
            <w:tcW w:w="833" w:type="pct"/>
            <w:tcBorders>
              <w:tl2br w:val="nil"/>
              <w:tr2bl w:val="nil"/>
            </w:tcBorders>
            <w:shd w:val="clear" w:color="000000" w:fill="FFFFFF"/>
            <w:vAlign w:val="center"/>
          </w:tcPr>
          <w:p>
            <w:pPr>
              <w:autoSpaceDE w:val="0"/>
              <w:autoSpaceDN w:val="0"/>
              <w:spacing w:line="240" w:lineRule="auto"/>
              <w:ind w:firstLine="0" w:firstLineChars="0"/>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2套Baker20</w:t>
            </w:r>
          </w:p>
        </w:tc>
      </w:tr>
      <w:bookmarkEnd w:id="158"/>
      <w:bookmarkEnd w:id="159"/>
      <w:bookmarkEnd w:id="160"/>
    </w:tbl>
    <w:p>
      <w:pPr>
        <w:rPr>
          <w:rFonts w:hint="eastAsia"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br w:type="page"/>
      </w: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72" w:name="_Toc31951"/>
      <w:r>
        <w:rPr>
          <w:rFonts w:hint="eastAsia" w:ascii="黑体" w:hAnsi="黑体" w:eastAsia="黑体" w:cs="黑体"/>
          <w:b/>
          <w:bCs/>
          <w:color w:val="auto"/>
          <w:sz w:val="28"/>
          <w:szCs w:val="28"/>
          <w:lang w:val="en-US" w:eastAsia="zh-CN"/>
        </w:rPr>
        <w:t>第七节  压裂效果检验</w:t>
      </w:r>
      <w:bookmarkEnd w:id="172"/>
    </w:p>
    <w:p>
      <w:pPr>
        <w:pStyle w:val="57"/>
        <w:keepNext w:val="0"/>
        <w:keepLines w:val="0"/>
        <w:pageBreakBefore w:val="0"/>
        <w:widowControl w:val="0"/>
        <w:kinsoku/>
        <w:wordWrap/>
        <w:overflowPunct/>
        <w:topLinePunct w:val="0"/>
        <w:autoSpaceDE/>
        <w:autoSpaceDN/>
        <w:bidi w:val="0"/>
        <w:adjustRightInd/>
        <w:snapToGrid/>
        <w:spacing w:line="540" w:lineRule="exact"/>
        <w:ind w:firstLine="482" w:firstLineChars="200"/>
        <w:textAlignment w:val="auto"/>
        <w:outlineLvl w:val="9"/>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一、压裂效果检验</w:t>
      </w:r>
    </w:p>
    <w:p>
      <w:pPr>
        <w:pStyle w:val="57"/>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default" w:ascii="宋体" w:hAnsi="宋体" w:cs="宋体"/>
          <w:color w:val="auto"/>
          <w:kern w:val="2"/>
          <w:sz w:val="24"/>
          <w:szCs w:val="24"/>
          <w:lang w:val="en-US" w:eastAsia="zh-CN" w:bidi="ar-SA"/>
        </w:rPr>
      </w:pPr>
      <w:r>
        <w:rPr>
          <w:rFonts w:hint="eastAsia" w:ascii="宋体" w:hAnsi="宋体" w:cs="宋体"/>
          <w:color w:val="auto"/>
          <w:kern w:val="2"/>
          <w:sz w:val="24"/>
          <w:szCs w:val="24"/>
          <w:lang w:val="en-US" w:eastAsia="zh-CN" w:bidi="ar-SA"/>
        </w:rPr>
        <w:t>（一）观察裂缝的扩展情况</w:t>
      </w:r>
    </w:p>
    <w:p>
      <w:pPr>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本次</w:t>
      </w:r>
      <w:r>
        <w:rPr>
          <w:rFonts w:hint="eastAsia" w:ascii="宋体" w:hAnsi="宋体" w:eastAsia="宋体" w:cs="宋体"/>
          <w:color w:val="auto"/>
          <w:sz w:val="24"/>
          <w:szCs w:val="24"/>
          <w:highlight w:val="none"/>
          <w:lang w:val="en-US" w:eastAsia="zh-CN"/>
        </w:rPr>
        <w:t>地面</w:t>
      </w:r>
      <w:r>
        <w:rPr>
          <w:rFonts w:hint="eastAsia" w:ascii="宋体" w:hAnsi="宋体" w:eastAsia="宋体" w:cs="宋体"/>
          <w:color w:val="auto"/>
          <w:sz w:val="24"/>
          <w:szCs w:val="24"/>
          <w:highlight w:val="none"/>
          <w:lang w:eastAsia="zh-CN"/>
        </w:rPr>
        <w:t>压裂井</w:t>
      </w:r>
      <w:r>
        <w:rPr>
          <w:rFonts w:hint="eastAsia" w:ascii="宋体" w:hAnsi="宋体" w:eastAsia="宋体" w:cs="宋体"/>
          <w:color w:val="auto"/>
          <w:kern w:val="2"/>
          <w:sz w:val="24"/>
          <w:szCs w:val="24"/>
          <w:highlight w:val="none"/>
          <w:lang w:val="en-US" w:eastAsia="zh-CN" w:bidi="ar-SA"/>
        </w:rPr>
        <w:t>主要是在坚硬岩层中形成人工预制裂缝，消除动载、降低静载，防止采场发生强矿压动力灾害。</w:t>
      </w:r>
      <w:r>
        <w:rPr>
          <w:rFonts w:hint="eastAsia" w:ascii="宋体" w:hAnsi="宋体" w:eastAsia="宋体" w:cs="宋体"/>
          <w:color w:val="auto"/>
          <w:sz w:val="24"/>
          <w:szCs w:val="24"/>
          <w:highlight w:val="none"/>
          <w:lang w:val="en-US" w:eastAsia="zh-CN"/>
        </w:rPr>
        <w:t>地面</w:t>
      </w:r>
      <w:r>
        <w:rPr>
          <w:rFonts w:hint="eastAsia" w:ascii="宋体" w:hAnsi="宋体" w:eastAsia="宋体" w:cs="宋体"/>
          <w:color w:val="auto"/>
          <w:sz w:val="24"/>
          <w:szCs w:val="24"/>
          <w:highlight w:val="none"/>
        </w:rPr>
        <w:t>压裂井压裂目标层位为煤层上方55m处，</w:t>
      </w:r>
      <w:r>
        <w:rPr>
          <w:rFonts w:hint="eastAsia" w:ascii="宋体" w:hAnsi="宋体" w:eastAsia="宋体" w:cs="宋体"/>
          <w:color w:val="auto"/>
          <w:sz w:val="24"/>
          <w:szCs w:val="24"/>
          <w:highlight w:val="none"/>
          <w:lang w:val="en-US" w:eastAsia="zh-CN"/>
        </w:rPr>
        <w:t>施工射孔、压裂，通过布站点检测,</w:t>
      </w:r>
      <w:r>
        <w:rPr>
          <w:rFonts w:hint="eastAsia" w:ascii="宋体" w:hAnsi="宋体" w:eastAsia="宋体" w:cs="宋体"/>
          <w:color w:val="auto"/>
          <w:sz w:val="24"/>
          <w:szCs w:val="24"/>
          <w:highlight w:val="none"/>
        </w:rPr>
        <w:t>其压裂缝网呈椭球体分布，长轴为200m以上、短轴为40</w:t>
      </w:r>
      <w:r>
        <w:rPr>
          <w:rFonts w:hint="eastAsia" w:ascii="宋体" w:hAnsi="宋体" w:eastAsia="宋体" w:cs="宋体"/>
          <w:color w:val="auto"/>
          <w:highlight w:val="none"/>
          <w:lang w:val="zh-CN"/>
        </w:rPr>
        <w:t>～</w:t>
      </w:r>
      <w:r>
        <w:rPr>
          <w:rFonts w:hint="eastAsia" w:ascii="宋体" w:hAnsi="宋体" w:eastAsia="宋体" w:cs="宋体"/>
          <w:color w:val="auto"/>
          <w:sz w:val="24"/>
          <w:szCs w:val="24"/>
          <w:highlight w:val="none"/>
        </w:rPr>
        <w:t>50m左右</w:t>
      </w:r>
      <w:r>
        <w:rPr>
          <w:rFonts w:hint="eastAsia" w:ascii="宋体" w:hAnsi="宋体" w:eastAsia="宋体" w:cs="宋体"/>
          <w:color w:val="auto"/>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射孔施工过程中</w:t>
      </w:r>
      <w:r>
        <w:rPr>
          <w:rFonts w:hint="eastAsia" w:ascii="宋体" w:hAnsi="宋体" w:eastAsia="宋体" w:cs="宋体"/>
          <w:color w:val="auto"/>
          <w:sz w:val="24"/>
          <w:szCs w:val="24"/>
        </w:rPr>
        <w:t>通过射孔点火的曲线波可以判断</w:t>
      </w:r>
      <w:r>
        <w:rPr>
          <w:rFonts w:hint="eastAsia" w:ascii="宋体" w:hAnsi="宋体" w:eastAsia="宋体" w:cs="宋体"/>
          <w:color w:val="auto"/>
          <w:sz w:val="24"/>
          <w:szCs w:val="24"/>
          <w:lang w:val="en-US" w:eastAsia="zh-CN"/>
        </w:rPr>
        <w:t>射孔作业是否成功，其次安排技术人员在井口位置根据震感来判断射孔弹是否成功引爆。待射孔工具串提出井口后，可以根据射孔枪弹夹是否还有射孔弹进行判断，最后通过给井里注入液体，根据井筒压力来判断是否射孔作业成功。</w:t>
      </w:r>
    </w:p>
    <w:p>
      <w:pPr>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地面压裂井在压裂施工期间，可通过压裂仪表车泵压和压裂曲线变化实时进行检测，通过专业技术员分析检验是否满足足缝长和缝高要求。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（二）微地震检测</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利用微地震检测对压裂段坐标的布点实时检测来判断，如果检测到没有达到缝长要求，可通过加入暂堵剂来改变液体流向和缝长的干扰最终达到改造目的，从而满足缝长和缝高要求。</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outlineLvl w:val="9"/>
        <w:rPr>
          <w:rFonts w:hint="eastAsia" w:ascii="宋体" w:hAnsi="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（三）</w:t>
      </w:r>
      <w:r>
        <w:rPr>
          <w:rFonts w:hint="eastAsia" w:ascii="宋体" w:hAnsi="宋体" w:cs="宋体"/>
          <w:color w:val="auto"/>
          <w:kern w:val="2"/>
          <w:sz w:val="24"/>
          <w:szCs w:val="24"/>
          <w:lang w:val="en-US" w:eastAsia="zh-CN" w:bidi="ar-SA"/>
        </w:rPr>
        <w:t>利用压裂施工及产后生产动态数据，通过压裂压力拟合、裂缝测试、压后生产动态历史拟合及试井等方法，评估压裂裂缝方位、形态、几何尺寸、改造体积等。</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default" w:ascii="Times New Roman" w:hAnsi="Times New Roman" w:eastAsia="宋体" w:cs="Times New Roman"/>
          <w:color w:val="auto"/>
          <w:sz w:val="24"/>
          <w:lang w:val="en-US" w:eastAsia="zh-CN"/>
        </w:rPr>
      </w:pPr>
      <w:r>
        <w:rPr>
          <w:rFonts w:hint="eastAsia" w:ascii="宋体" w:hAnsi="宋体" w:cs="宋体"/>
          <w:color w:val="auto"/>
          <w:kern w:val="2"/>
          <w:sz w:val="24"/>
          <w:szCs w:val="24"/>
          <w:lang w:val="en-US" w:eastAsia="zh-CN" w:bidi="ar-SA"/>
        </w:rPr>
        <w:t>（四）</w:t>
      </w:r>
      <w:r>
        <w:rPr>
          <w:rFonts w:hint="eastAsia" w:ascii="Times New Roman" w:hAnsi="Times New Roman" w:eastAsia="宋体" w:cs="Times New Roman"/>
          <w:color w:val="auto"/>
          <w:sz w:val="24"/>
        </w:rPr>
        <w:t>压裂井施工验收标准</w:t>
      </w:r>
      <w:r>
        <w:rPr>
          <w:rFonts w:hint="eastAsia" w:cs="Times New Roman"/>
          <w:color w:val="auto"/>
          <w:sz w:val="24"/>
          <w:lang w:val="en-US" w:eastAsia="zh-CN"/>
        </w:rPr>
        <w:t>及误差设定</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根据要求完成地面压裂工程，提交地面压裂方案设计报告、地面压裂工程实施报告、地面压裂钻井工程主要数据汇总表、钻井工程总结报告、钻井液使用总结报告、固井数据表、固井施工总结、固井现场施工设计等相关资料；</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2.根据周边钻孔及参数井的地质、测井资料，完成井眼的轨迹走势预测图，利用钻进过程中的地质导向资料分析轨迹变化；</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3.做好地质录井，录井内容包括岩屑、钻时、钻井液、工程参数、简易水文、特殊作业等；</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4.开展地球物理测井，主要包含交叉偶极子声波测井、标准测井、声幅测井、随钻测井、井斜测量等；</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5.根据压裂工作区域地质概况，做好压裂井的着陆点管理，要求着陆点误差不能超过±2m；</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6.在单井第一段射孔时，严格校深，调整管柱使射孔枪对准射孔井段，误差要求不超过±0.5m，射孔方位角误差不超过3°。在后续射孔段射孔时，误差要求不超过±0.5m，射孔方位角误差不超过3°；</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7.在单井第一段压裂施工结束后，进行一次模拟泵送检验井筒畅通情况，确保后续泵送桥塞射孔联作管串顺利进行。获取破裂梯度、闭合压力、地层压力和有效渗透率；</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8.地面布置一口压裂井，压裂井根据压裂要求进行设计；压裂段长度不小于930m；</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9.压裂井固井质量满足《钻井井身质量控制规范》（SY/T5088-2017），压裂井与设计井斜偏差≤1.0°，水泥胶结质量良好及以上；</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10.钻井施工过程中进行可靠的钻井定向轨迹控制，终井后提供钻井轨迹图，钻井压裂段轨迹位移较设计偏差不大于5.0m；</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11.采用TCP复合射孔或泵送复合射孔工艺，每段射孔簇数3～4簇，每簇射孔数量10～12孔，单孔分段桥塞。</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12.分段进行压裂，分段间距50m～65m左右，压裂施工排量以5～6m³/min为宜，每段施工压裂液用量350～400m³，单段压裂时长约1.5～2h。</w:t>
      </w:r>
    </w:p>
    <w:p>
      <w:pPr>
        <w:pStyle w:val="23"/>
        <w:keepNext w:val="0"/>
        <w:keepLines w:val="0"/>
        <w:pageBreakBefore w:val="0"/>
        <w:widowControl w:val="0"/>
        <w:kinsoku/>
        <w:wordWrap/>
        <w:overflowPunct/>
        <w:topLinePunct w:val="0"/>
        <w:autoSpaceDE/>
        <w:autoSpaceDN/>
        <w:bidi w:val="0"/>
        <w:adjustRightInd/>
        <w:snapToGrid/>
        <w:spacing w:after="0" w:line="54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13.压裂过程中必须实时监测裂缝方向、长度，各压裂分段裂缝长度不小于200m</w:t>
      </w:r>
      <w:r>
        <w:rPr>
          <w:rFonts w:hint="eastAsia" w:ascii="宋体" w:hAnsi="宋体" w:cs="宋体"/>
          <w:color w:val="auto"/>
          <w:kern w:val="2"/>
          <w:sz w:val="24"/>
          <w:szCs w:val="24"/>
          <w:lang w:val="en-US" w:eastAsia="zh-CN" w:bidi="ar-SA"/>
        </w:rPr>
        <w:t>，</w:t>
      </w:r>
      <w:r>
        <w:rPr>
          <w:rFonts w:hint="eastAsia" w:ascii="宋体" w:hAnsi="宋体" w:eastAsia="宋体" w:cs="宋体"/>
          <w:color w:val="auto"/>
          <w:kern w:val="2"/>
          <w:sz w:val="24"/>
          <w:szCs w:val="24"/>
          <w:lang w:val="en-US" w:eastAsia="zh-CN" w:bidi="ar-SA"/>
        </w:rPr>
        <w:t>缝高不小于50m</w:t>
      </w:r>
      <w:r>
        <w:rPr>
          <w:rFonts w:hint="eastAsia" w:ascii="宋体" w:hAnsi="宋体" w:cs="宋体"/>
          <w:color w:val="auto"/>
          <w:kern w:val="2"/>
          <w:sz w:val="24"/>
          <w:szCs w:val="24"/>
          <w:lang w:val="en-US" w:eastAsia="zh-CN" w:bidi="ar-SA"/>
        </w:rPr>
        <w:t>，</w:t>
      </w:r>
      <w:r>
        <w:rPr>
          <w:rFonts w:hint="eastAsia" w:ascii="宋体" w:hAnsi="宋体" w:eastAsia="宋体" w:cs="宋体"/>
          <w:color w:val="auto"/>
          <w:kern w:val="2"/>
          <w:sz w:val="24"/>
          <w:szCs w:val="24"/>
          <w:lang w:val="en-US" w:eastAsia="zh-CN" w:bidi="ar-SA"/>
        </w:rPr>
        <w:t>缝宽不小于50m；每段提供压裂施工及裂缝扩展监测数据分析报告。压裂期间井下采用钻孔应力计、光纤监测等方法对采场围岩应力应变等数据进行监测，给出明确评价报告。</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14.压裂过程进行实时监测；地面微地震裂缝监测系统测点覆盖工作面压裂区域，且监测点不少于10个，微震监测探头随压裂区域不断调整，确保覆盖压裂区域。对压裂裂缝方向和形态等进行监测评价，为压裂过程中优化调整施工参数提供可靠依据。</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（五）压裂期间效果检验</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bookmarkStart w:id="173" w:name="_Hlk223984353"/>
      <w:r>
        <w:rPr>
          <w:rFonts w:hint="eastAsia" w:ascii="宋体" w:hAnsi="宋体" w:eastAsia="宋体" w:cs="宋体"/>
          <w:color w:val="auto"/>
          <w:sz w:val="24"/>
        </w:rPr>
        <w:t>压裂期间效果检验主要采用钻孔应力计与光纤监测相结合的手段，同时实时监测地面压裂缝网动态扩展特征，评价地面压裂成缝效果。</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（1）钻孔应力计监测：在压裂目标区巷道内预先埋设钻孔应力计，实时监测压裂过程中应力的动态变化，对比压裂前后应力变化幅度及影响范围，评价压裂对岩体应力场的改造效果；</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default" w:ascii="宋体" w:hAnsi="宋体" w:eastAsia="宋体" w:cs="宋体"/>
          <w:color w:val="auto"/>
          <w:sz w:val="24"/>
          <w:lang w:val="en-US" w:eastAsia="zh-CN"/>
        </w:rPr>
      </w:pPr>
      <w:r>
        <w:rPr>
          <w:rFonts w:hint="eastAsia" w:ascii="宋体" w:hAnsi="宋体" w:eastAsia="宋体" w:cs="宋体"/>
          <w:color w:val="auto"/>
          <w:sz w:val="24"/>
        </w:rPr>
        <w:t>（2）光纤钻孔应力监测：在压裂目标区巷道内布设光纤钻孔应力传感器，实时监测压裂过程中岩体的应变响应。光纤具有高灵敏度的优势，能够捕捉裂缝扩展过程中的微应变变化，并通过应变来反映应力变化情况。共布置三个光纤钻孔应力传感器，光纤钻孔角度垂直于煤层倾向，钻孔深度为</w:t>
      </w:r>
      <w:r>
        <w:rPr>
          <w:rFonts w:hint="eastAsia" w:ascii="宋体" w:hAnsi="宋体" w:cs="宋体"/>
          <w:color w:val="auto"/>
          <w:sz w:val="24"/>
          <w:lang w:val="en-US" w:eastAsia="zh-CN"/>
        </w:rPr>
        <w:t>3</w:t>
      </w:r>
      <w:r>
        <w:rPr>
          <w:rFonts w:hint="eastAsia" w:ascii="宋体" w:hAnsi="宋体" w:eastAsia="宋体" w:cs="宋体"/>
          <w:color w:val="auto"/>
          <w:sz w:val="24"/>
        </w:rPr>
        <w:t>0m</w:t>
      </w:r>
      <w:r>
        <w:rPr>
          <w:rFonts w:hint="eastAsia" w:ascii="宋体" w:hAnsi="宋体" w:cs="宋体"/>
          <w:color w:val="auto"/>
          <w:sz w:val="24"/>
          <w:lang w:eastAsia="zh-CN"/>
        </w:rPr>
        <w:t>。</w:t>
      </w:r>
      <w:r>
        <w:rPr>
          <w:rFonts w:hint="eastAsia" w:ascii="宋体" w:hAnsi="宋体" w:eastAsia="宋体" w:cs="宋体"/>
          <w:color w:val="auto"/>
          <w:sz w:val="24"/>
        </w:rPr>
        <w:t>光纤钻孔应力监测</w:t>
      </w:r>
      <w:r>
        <w:rPr>
          <w:rFonts w:hint="eastAsia" w:ascii="宋体" w:hAnsi="宋体" w:cs="宋体"/>
          <w:color w:val="auto"/>
          <w:sz w:val="24"/>
          <w:lang w:val="en-US" w:eastAsia="zh-CN"/>
        </w:rPr>
        <w:t>由项目研究单位负责实施。</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拟在南103-1回风顺槽布置三个光纤钻孔，钻孔位置拟定于南103-1回风顺槽测点</w:t>
      </w:r>
      <w:r>
        <w:rPr>
          <w:rFonts w:hint="eastAsia" w:ascii="宋体" w:hAnsi="宋体" w:cs="宋体"/>
          <w:color w:val="auto"/>
          <w:sz w:val="24"/>
          <w:lang w:val="en-US" w:eastAsia="zh-CN"/>
        </w:rPr>
        <w:t>8</w:t>
      </w:r>
      <w:r>
        <w:rPr>
          <w:rFonts w:hint="eastAsia" w:ascii="宋体" w:hAnsi="宋体" w:eastAsia="宋体" w:cs="宋体"/>
          <w:color w:val="auto"/>
          <w:sz w:val="24"/>
        </w:rPr>
        <w:t>前104m处、测点6处及测点4处</w:t>
      </w:r>
      <w:r>
        <w:rPr>
          <w:rFonts w:hint="eastAsia" w:ascii="宋体" w:hAnsi="宋体" w:cs="宋体"/>
          <w:color w:val="auto"/>
          <w:sz w:val="24"/>
          <w:lang w:eastAsia="zh-CN"/>
        </w:rPr>
        <w:t>，</w:t>
      </w:r>
      <w:r>
        <w:rPr>
          <w:rFonts w:hint="eastAsia" w:ascii="宋体" w:hAnsi="宋体" w:cs="宋体"/>
          <w:color w:val="auto"/>
          <w:sz w:val="24"/>
          <w:lang w:val="en-US" w:eastAsia="zh-CN"/>
        </w:rPr>
        <w:t>光纤应力监测点布置见图2-7-1。</w:t>
      </w:r>
    </w:p>
    <w:p>
      <w:pPr>
        <w:keepNext w:val="0"/>
        <w:keepLines w:val="0"/>
        <w:pageBreakBefore w:val="0"/>
        <w:widowControl w:val="0"/>
        <w:kinsoku/>
        <w:wordWrap/>
        <w:overflowPunct/>
        <w:topLinePunct w:val="0"/>
        <w:autoSpaceDE/>
        <w:autoSpaceDN/>
        <w:bidi w:val="0"/>
        <w:adjustRightInd/>
        <w:snapToGrid/>
        <w:spacing w:after="0" w:line="560" w:lineRule="exact"/>
        <w:ind w:firstLine="420" w:firstLineChars="200"/>
        <w:textAlignment w:val="auto"/>
        <w:rPr>
          <w:rFonts w:hint="eastAsia" w:ascii="宋体" w:hAnsi="宋体" w:eastAsia="宋体" w:cs="宋体"/>
          <w:color w:val="auto"/>
          <w:sz w:val="24"/>
        </w:rPr>
      </w:pPr>
      <w:r>
        <w:rPr>
          <w:color w:val="auto"/>
        </w:rPr>
        <w:drawing>
          <wp:anchor distT="0" distB="0" distL="0" distR="0" simplePos="0" relativeHeight="251721728" behindDoc="0" locked="0" layoutInCell="1" allowOverlap="1">
            <wp:simplePos x="0" y="0"/>
            <wp:positionH relativeFrom="column">
              <wp:posOffset>220345</wp:posOffset>
            </wp:positionH>
            <wp:positionV relativeFrom="paragraph">
              <wp:posOffset>145415</wp:posOffset>
            </wp:positionV>
            <wp:extent cx="5274310" cy="2007870"/>
            <wp:effectExtent l="9525" t="9525" r="12065" b="20955"/>
            <wp:wrapNone/>
            <wp:docPr id="573404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04249" name="图片 1"/>
                    <pic:cNvPicPr>
                      <a:picLocks noChangeAspect="1"/>
                    </pic:cNvPicPr>
                  </pic:nvPicPr>
                  <pic:blipFill>
                    <a:blip r:embed="rId122"/>
                    <a:stretch>
                      <a:fillRect/>
                    </a:stretch>
                  </pic:blipFill>
                  <pic:spPr>
                    <a:xfrm>
                      <a:off x="0" y="0"/>
                      <a:ext cx="5274310" cy="2007870"/>
                    </a:xfrm>
                    <a:prstGeom prst="rect">
                      <a:avLst/>
                    </a:prstGeom>
                    <a:ln>
                      <a:solidFill>
                        <a:schemeClr val="tx1"/>
                      </a:solid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hint="eastAsia" w:ascii="楷体_GB2312" w:hAnsi="楷体_GB2312" w:eastAsia="楷体_GB2312" w:cs="楷体_GB2312"/>
          <w:color w:val="auto"/>
          <w:kern w:val="2"/>
          <w:sz w:val="24"/>
          <w:szCs w:val="24"/>
          <w:lang w:val="zh-CN" w:eastAsia="zh-CN" w:bidi="ar-SA"/>
          <w14:ligatures w14:val="standardContextual"/>
        </w:rPr>
      </w:pPr>
      <w:r>
        <w:rPr>
          <w:rFonts w:hint="eastAsia" w:ascii="楷体_GB2312" w:hAnsi="楷体_GB2312" w:eastAsia="楷体_GB2312" w:cs="楷体_GB2312"/>
          <w:color w:val="auto"/>
          <w:kern w:val="2"/>
          <w:sz w:val="24"/>
          <w:szCs w:val="24"/>
          <w:lang w:val="zh-CN" w:eastAsia="zh-CN" w:bidi="ar-SA"/>
          <w14:ligatures w14:val="standardContextual"/>
        </w:rPr>
        <w:t>图</w:t>
      </w:r>
      <w:r>
        <w:rPr>
          <w:rFonts w:hint="eastAsia" w:ascii="楷体_GB2312" w:hAnsi="楷体_GB2312" w:eastAsia="楷体_GB2312" w:cs="楷体_GB2312"/>
          <w:color w:val="auto"/>
          <w:kern w:val="2"/>
          <w:sz w:val="24"/>
          <w:szCs w:val="24"/>
          <w:lang w:val="en-US" w:eastAsia="zh-CN" w:bidi="ar-SA"/>
          <w14:ligatures w14:val="standardContextual"/>
        </w:rPr>
        <w:t>2-7-</w:t>
      </w:r>
      <w:r>
        <w:rPr>
          <w:rFonts w:hint="eastAsia" w:ascii="楷体_GB2312" w:hAnsi="楷体_GB2312" w:eastAsia="楷体_GB2312" w:cs="楷体_GB2312"/>
          <w:color w:val="auto"/>
          <w:kern w:val="2"/>
          <w:sz w:val="24"/>
          <w:szCs w:val="24"/>
          <w:lang w:val="zh-CN" w:eastAsia="zh-CN" w:bidi="ar-SA"/>
          <w14:ligatures w14:val="standardContextual"/>
        </w:rPr>
        <w:t xml:space="preserve">1 </w:t>
      </w:r>
      <w:r>
        <w:rPr>
          <w:rFonts w:hint="eastAsia" w:ascii="楷体_GB2312" w:hAnsi="楷体_GB2312" w:eastAsia="楷体_GB2312" w:cs="楷体_GB2312"/>
          <w:color w:val="auto"/>
          <w:kern w:val="2"/>
          <w:sz w:val="24"/>
          <w:szCs w:val="24"/>
          <w:lang w:val="en-US" w:eastAsia="zh-CN" w:bidi="ar-SA"/>
          <w14:ligatures w14:val="standardContextual"/>
        </w:rPr>
        <w:t xml:space="preserve"> 光纤应力监测点布置</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default" w:ascii="宋体" w:hAnsi="宋体" w:eastAsia="宋体" w:cs="宋体"/>
          <w:color w:val="auto"/>
          <w:sz w:val="24"/>
          <w:lang w:val="en-US" w:eastAsia="zh-CN"/>
        </w:rPr>
      </w:pPr>
      <w:r>
        <w:rPr>
          <w:rFonts w:hint="eastAsia" w:ascii="宋体" w:hAnsi="宋体" w:eastAsia="宋体" w:cs="宋体"/>
          <w:color w:val="auto"/>
          <w:sz w:val="24"/>
        </w:rPr>
        <w:t>①南103-1回风顺槽光纤钻孔1</w:t>
      </w:r>
      <w:r>
        <w:rPr>
          <w:rFonts w:hint="eastAsia" w:ascii="宋体" w:hAnsi="宋体" w:cs="宋体"/>
          <w:color w:val="auto"/>
          <w:sz w:val="24"/>
          <w:lang w:eastAsia="zh-CN"/>
        </w:rPr>
        <w:t>：</w:t>
      </w:r>
      <w:r>
        <w:rPr>
          <w:rFonts w:hint="eastAsia" w:ascii="宋体" w:hAnsi="宋体" w:eastAsia="宋体" w:cs="宋体"/>
          <w:color w:val="auto"/>
          <w:sz w:val="24"/>
        </w:rPr>
        <w:t>光纤钻孔深度</w:t>
      </w:r>
      <w:r>
        <w:rPr>
          <w:rFonts w:hint="eastAsia" w:ascii="宋体" w:hAnsi="宋体" w:cs="宋体"/>
          <w:color w:val="auto"/>
          <w:sz w:val="24"/>
          <w:lang w:val="en-US" w:eastAsia="zh-CN"/>
        </w:rPr>
        <w:t>3</w:t>
      </w:r>
      <w:r>
        <w:rPr>
          <w:rFonts w:hint="eastAsia" w:ascii="宋体" w:hAnsi="宋体" w:eastAsia="宋体" w:cs="宋体"/>
          <w:color w:val="auto"/>
          <w:sz w:val="24"/>
        </w:rPr>
        <w:t>0m，钻孔垂直岩层层理面钻进，钻孔角度与水平面夹角为28°。</w:t>
      </w:r>
      <w:r>
        <w:rPr>
          <w:rFonts w:hint="eastAsia" w:ascii="宋体" w:hAnsi="宋体" w:cs="宋体"/>
          <w:color w:val="auto"/>
          <w:sz w:val="24"/>
          <w:lang w:val="en-US" w:eastAsia="zh-CN"/>
        </w:rPr>
        <w:t>钻孔剖面见图2-7-2。</w:t>
      </w:r>
    </w:p>
    <w:p>
      <w:pPr>
        <w:keepNext w:val="0"/>
        <w:keepLines w:val="0"/>
        <w:pageBreakBefore w:val="0"/>
        <w:widowControl w:val="0"/>
        <w:kinsoku/>
        <w:wordWrap/>
        <w:overflowPunct/>
        <w:topLinePunct w:val="0"/>
        <w:autoSpaceDE/>
        <w:autoSpaceDN/>
        <w:bidi w:val="0"/>
        <w:adjustRightInd/>
        <w:snapToGrid/>
        <w:spacing w:after="0" w:line="560" w:lineRule="exact"/>
        <w:ind w:firstLine="420" w:firstLineChars="200"/>
        <w:textAlignment w:val="auto"/>
        <w:rPr>
          <w:rFonts w:hint="eastAsia" w:ascii="宋体" w:hAnsi="宋体" w:eastAsia="宋体" w:cs="宋体"/>
          <w:color w:val="auto"/>
          <w:sz w:val="24"/>
        </w:rPr>
      </w:pPr>
      <w:bookmarkStart w:id="218" w:name="_GoBack"/>
      <w:bookmarkEnd w:id="218"/>
      <w:r>
        <w:rPr>
          <w:color w:val="auto"/>
        </w:rPr>
        <w:drawing>
          <wp:anchor distT="0" distB="0" distL="0" distR="0" simplePos="0" relativeHeight="251722752" behindDoc="0" locked="0" layoutInCell="1" allowOverlap="1">
            <wp:simplePos x="0" y="0"/>
            <wp:positionH relativeFrom="column">
              <wp:posOffset>1347470</wp:posOffset>
            </wp:positionH>
            <wp:positionV relativeFrom="paragraph">
              <wp:posOffset>-56515</wp:posOffset>
            </wp:positionV>
            <wp:extent cx="2979420" cy="2187575"/>
            <wp:effectExtent l="0" t="0" r="11430" b="3175"/>
            <wp:wrapNone/>
            <wp:docPr id="1056782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8258" name="图片 1"/>
                    <pic:cNvPicPr>
                      <a:picLocks noChangeAspect="1"/>
                    </pic:cNvPicPr>
                  </pic:nvPicPr>
                  <pic:blipFill>
                    <a:blip r:embed="rId123"/>
                    <a:stretch>
                      <a:fillRect/>
                    </a:stretch>
                  </pic:blipFill>
                  <pic:spPr>
                    <a:xfrm>
                      <a:off x="0" y="0"/>
                      <a:ext cx="2979420" cy="2187575"/>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p>
    <w:p>
      <w:pPr>
        <w:pStyle w:val="2"/>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color w:val="auto"/>
          <w:kern w:val="2"/>
          <w:sz w:val="24"/>
          <w:szCs w:val="24"/>
          <w:lang w:val="en-US" w:eastAsia="zh-CN" w:bidi="ar-SA"/>
        </w:rPr>
      </w:pPr>
      <w:r>
        <w:rPr>
          <w:rFonts w:hint="eastAsia" w:ascii="楷体_GB2312" w:hAnsi="楷体_GB2312" w:eastAsia="楷体_GB2312" w:cs="楷体_GB2312"/>
          <w:color w:val="auto"/>
          <w:kern w:val="2"/>
          <w:sz w:val="24"/>
          <w:szCs w:val="24"/>
          <w:lang w:val="zh-CN" w:eastAsia="zh-CN" w:bidi="ar-SA"/>
          <w14:ligatures w14:val="standardContextual"/>
        </w:rPr>
        <w:t>图</w:t>
      </w:r>
      <w:r>
        <w:rPr>
          <w:rFonts w:hint="eastAsia" w:ascii="楷体_GB2312" w:hAnsi="楷体_GB2312" w:eastAsia="楷体_GB2312" w:cs="楷体_GB2312"/>
          <w:color w:val="auto"/>
          <w:kern w:val="2"/>
          <w:sz w:val="24"/>
          <w:szCs w:val="24"/>
          <w:lang w:val="en-US" w:eastAsia="zh-CN" w:bidi="ar-SA"/>
          <w14:ligatures w14:val="standardContextual"/>
        </w:rPr>
        <w:t>2-7-2</w:t>
      </w:r>
      <w:r>
        <w:rPr>
          <w:rFonts w:hint="eastAsia" w:ascii="楷体_GB2312" w:hAnsi="楷体_GB2312" w:eastAsia="楷体_GB2312" w:cs="楷体_GB2312"/>
          <w:color w:val="auto"/>
          <w:kern w:val="2"/>
          <w:sz w:val="24"/>
          <w:szCs w:val="24"/>
          <w:lang w:val="zh-CN" w:eastAsia="zh-CN" w:bidi="ar-SA"/>
          <w14:ligatures w14:val="standardContextual"/>
        </w:rPr>
        <w:t xml:space="preserve"> </w:t>
      </w:r>
      <w:r>
        <w:rPr>
          <w:rFonts w:hint="eastAsia" w:ascii="楷体_GB2312" w:hAnsi="楷体_GB2312" w:eastAsia="楷体_GB2312" w:cs="楷体_GB2312"/>
          <w:color w:val="auto"/>
          <w:kern w:val="2"/>
          <w:sz w:val="24"/>
          <w:szCs w:val="24"/>
          <w:lang w:val="en-US" w:eastAsia="zh-CN" w:bidi="ar-SA"/>
          <w14:ligatures w14:val="standardContextual"/>
        </w:rPr>
        <w:t xml:space="preserve"> 光纤钻孔1剖面图</w:t>
      </w:r>
    </w:p>
    <w:p>
      <w:pPr>
        <w:pStyle w:val="2"/>
        <w:keepNext w:val="0"/>
        <w:keepLines w:val="0"/>
        <w:pageBreakBefore w:val="0"/>
        <w:widowControl w:val="0"/>
        <w:kinsoku/>
        <w:wordWrap/>
        <w:overflowPunct/>
        <w:topLinePunct w:val="0"/>
        <w:autoSpaceDE/>
        <w:autoSpaceDN/>
        <w:bidi w:val="0"/>
        <w:adjustRightInd/>
        <w:snapToGrid/>
        <w:spacing w:line="560" w:lineRule="exact"/>
        <w:ind w:firstLine="420" w:firstLineChars="200"/>
        <w:textAlignment w:val="auto"/>
        <w:rPr>
          <w:rFonts w:hint="eastAsia" w:ascii="宋体" w:hAnsi="宋体" w:eastAsia="宋体" w:cs="宋体"/>
          <w:color w:val="auto"/>
          <w:kern w:val="2"/>
          <w:sz w:val="24"/>
          <w:szCs w:val="24"/>
          <w:lang w:val="en-US" w:eastAsia="zh-CN" w:bidi="ar-SA"/>
        </w:rPr>
      </w:pPr>
      <w:r>
        <w:rPr>
          <w:color w:val="auto"/>
        </w:rPr>
        <w:drawing>
          <wp:anchor distT="0" distB="0" distL="0" distR="0" simplePos="0" relativeHeight="251723776" behindDoc="0" locked="0" layoutInCell="1" allowOverlap="1">
            <wp:simplePos x="0" y="0"/>
            <wp:positionH relativeFrom="column">
              <wp:posOffset>1353185</wp:posOffset>
            </wp:positionH>
            <wp:positionV relativeFrom="paragraph">
              <wp:posOffset>740410</wp:posOffset>
            </wp:positionV>
            <wp:extent cx="2969895" cy="2181225"/>
            <wp:effectExtent l="0" t="0" r="1905" b="9525"/>
            <wp:wrapNone/>
            <wp:docPr id="5167750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75042" name="图片 1"/>
                    <pic:cNvPicPr>
                      <a:picLocks noChangeAspect="1"/>
                    </pic:cNvPicPr>
                  </pic:nvPicPr>
                  <pic:blipFill>
                    <a:blip r:embed="rId124"/>
                    <a:stretch>
                      <a:fillRect/>
                    </a:stretch>
                  </pic:blipFill>
                  <pic:spPr>
                    <a:xfrm>
                      <a:off x="0" y="0"/>
                      <a:ext cx="2969895" cy="2181225"/>
                    </a:xfrm>
                    <a:prstGeom prst="rect">
                      <a:avLst/>
                    </a:prstGeom>
                  </pic:spPr>
                </pic:pic>
              </a:graphicData>
            </a:graphic>
          </wp:anchor>
        </w:drawing>
      </w:r>
      <w:r>
        <w:rPr>
          <w:rFonts w:hint="eastAsia" w:ascii="宋体" w:hAnsi="宋体" w:eastAsia="宋体" w:cs="宋体"/>
          <w:color w:val="auto"/>
          <w:kern w:val="2"/>
          <w:sz w:val="24"/>
          <w:szCs w:val="24"/>
          <w:lang w:val="en-US" w:eastAsia="zh-CN" w:bidi="ar-SA"/>
        </w:rPr>
        <w:t>②南103-1回风顺槽光纤钻孔2：光纤钻孔深度</w:t>
      </w:r>
      <w:r>
        <w:rPr>
          <w:rFonts w:hint="eastAsia" w:ascii="宋体" w:hAnsi="宋体" w:cs="宋体"/>
          <w:color w:val="auto"/>
          <w:kern w:val="2"/>
          <w:sz w:val="24"/>
          <w:szCs w:val="24"/>
          <w:lang w:val="en-US" w:eastAsia="zh-CN" w:bidi="ar-SA"/>
        </w:rPr>
        <w:t>3</w:t>
      </w:r>
      <w:r>
        <w:rPr>
          <w:rFonts w:hint="eastAsia" w:ascii="宋体" w:hAnsi="宋体" w:eastAsia="宋体" w:cs="宋体"/>
          <w:color w:val="auto"/>
          <w:kern w:val="2"/>
          <w:sz w:val="24"/>
          <w:szCs w:val="24"/>
          <w:lang w:val="en-US" w:eastAsia="zh-CN" w:bidi="ar-SA"/>
        </w:rPr>
        <w:t>0m，钻孔垂直岩层层理面钻进，钻孔角度与水平面夹角为28°。</w:t>
      </w:r>
      <w:r>
        <w:rPr>
          <w:rFonts w:hint="eastAsia" w:ascii="宋体" w:hAnsi="宋体" w:cs="宋体"/>
          <w:color w:val="auto"/>
          <w:sz w:val="24"/>
          <w:lang w:val="en-US" w:eastAsia="zh-CN"/>
        </w:rPr>
        <w:t>钻孔剖面见图2-7-3。</w:t>
      </w: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宋体" w:hAnsi="宋体" w:eastAsia="宋体" w:cs="宋体"/>
          <w:color w:val="auto"/>
          <w:sz w:val="24"/>
        </w:rPr>
      </w:pPr>
    </w:p>
    <w:p>
      <w:pPr>
        <w:pStyle w:val="2"/>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color w:val="auto"/>
          <w:kern w:val="2"/>
          <w:sz w:val="24"/>
          <w:szCs w:val="24"/>
          <w:lang w:val="en-US" w:eastAsia="zh-CN" w:bidi="ar-SA"/>
        </w:rPr>
      </w:pPr>
      <w:r>
        <w:rPr>
          <w:rFonts w:hint="eastAsia" w:ascii="楷体_GB2312" w:hAnsi="楷体_GB2312" w:eastAsia="楷体_GB2312" w:cs="楷体_GB2312"/>
          <w:color w:val="auto"/>
          <w:kern w:val="2"/>
          <w:sz w:val="24"/>
          <w:szCs w:val="24"/>
          <w:lang w:val="zh-CN" w:eastAsia="zh-CN" w:bidi="ar-SA"/>
          <w14:ligatures w14:val="standardContextual"/>
        </w:rPr>
        <w:t>图</w:t>
      </w:r>
      <w:r>
        <w:rPr>
          <w:rFonts w:hint="eastAsia" w:ascii="楷体_GB2312" w:hAnsi="楷体_GB2312" w:eastAsia="楷体_GB2312" w:cs="楷体_GB2312"/>
          <w:color w:val="auto"/>
          <w:kern w:val="2"/>
          <w:sz w:val="24"/>
          <w:szCs w:val="24"/>
          <w:lang w:val="en-US" w:eastAsia="zh-CN" w:bidi="ar-SA"/>
          <w14:ligatures w14:val="standardContextual"/>
        </w:rPr>
        <w:t>2-7-3</w:t>
      </w:r>
      <w:r>
        <w:rPr>
          <w:rFonts w:hint="eastAsia" w:ascii="楷体_GB2312" w:hAnsi="楷体_GB2312" w:eastAsia="楷体_GB2312" w:cs="楷体_GB2312"/>
          <w:color w:val="auto"/>
          <w:kern w:val="2"/>
          <w:sz w:val="24"/>
          <w:szCs w:val="24"/>
          <w:lang w:val="zh-CN" w:eastAsia="zh-CN" w:bidi="ar-SA"/>
          <w14:ligatures w14:val="standardContextual"/>
        </w:rPr>
        <w:t xml:space="preserve"> </w:t>
      </w:r>
      <w:r>
        <w:rPr>
          <w:rFonts w:hint="eastAsia" w:ascii="楷体_GB2312" w:hAnsi="楷体_GB2312" w:eastAsia="楷体_GB2312" w:cs="楷体_GB2312"/>
          <w:color w:val="auto"/>
          <w:kern w:val="2"/>
          <w:sz w:val="24"/>
          <w:szCs w:val="24"/>
          <w:lang w:val="en-US" w:eastAsia="zh-CN" w:bidi="ar-SA"/>
          <w14:ligatures w14:val="standardContextual"/>
        </w:rPr>
        <w:t xml:space="preserve"> 光纤钻孔2剖面图</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③南103-1回风顺槽光纤钻孔3：光纤钻孔深度</w:t>
      </w:r>
      <w:r>
        <w:rPr>
          <w:rFonts w:hint="eastAsia" w:ascii="宋体" w:hAnsi="宋体" w:cs="宋体"/>
          <w:color w:val="auto"/>
          <w:sz w:val="24"/>
          <w:lang w:val="en-US" w:eastAsia="zh-CN"/>
        </w:rPr>
        <w:t>3</w:t>
      </w:r>
      <w:r>
        <w:rPr>
          <w:rFonts w:hint="eastAsia" w:ascii="宋体" w:hAnsi="宋体" w:eastAsia="宋体" w:cs="宋体"/>
          <w:color w:val="auto"/>
          <w:sz w:val="24"/>
        </w:rPr>
        <w:t>0m，钻孔垂直岩层层理面钻进，钻孔角度与水平面夹角为21°。</w:t>
      </w:r>
      <w:r>
        <w:rPr>
          <w:rFonts w:hint="eastAsia" w:ascii="宋体" w:hAnsi="宋体" w:cs="宋体"/>
          <w:color w:val="auto"/>
          <w:sz w:val="24"/>
          <w:lang w:val="en-US" w:eastAsia="zh-CN"/>
        </w:rPr>
        <w:t>钻孔剖面见图2-7-4。</w:t>
      </w:r>
    </w:p>
    <w:p>
      <w:pPr>
        <w:pStyle w:val="2"/>
        <w:rPr>
          <w:rFonts w:hint="eastAsia" w:ascii="宋体" w:hAnsi="宋体" w:eastAsia="宋体" w:cs="宋体"/>
          <w:color w:val="auto"/>
          <w:sz w:val="24"/>
        </w:rPr>
      </w:pPr>
      <w:r>
        <w:rPr>
          <w:color w:val="auto"/>
        </w:rPr>
        <w:drawing>
          <wp:anchor distT="0" distB="0" distL="0" distR="0" simplePos="0" relativeHeight="251724800" behindDoc="0" locked="0" layoutInCell="1" allowOverlap="1">
            <wp:simplePos x="0" y="0"/>
            <wp:positionH relativeFrom="column">
              <wp:posOffset>1457960</wp:posOffset>
            </wp:positionH>
            <wp:positionV relativeFrom="paragraph">
              <wp:posOffset>36830</wp:posOffset>
            </wp:positionV>
            <wp:extent cx="2913380" cy="2139950"/>
            <wp:effectExtent l="0" t="0" r="1270" b="12700"/>
            <wp:wrapNone/>
            <wp:docPr id="20880748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74846" name="图片 1"/>
                    <pic:cNvPicPr>
                      <a:picLocks noChangeAspect="1"/>
                    </pic:cNvPicPr>
                  </pic:nvPicPr>
                  <pic:blipFill>
                    <a:blip r:embed="rId125"/>
                    <a:stretch>
                      <a:fillRect/>
                    </a:stretch>
                  </pic:blipFill>
                  <pic:spPr>
                    <a:xfrm>
                      <a:off x="0" y="0"/>
                      <a:ext cx="2913380" cy="2139950"/>
                    </a:xfrm>
                    <a:prstGeom prst="rect">
                      <a:avLst/>
                    </a:prstGeom>
                  </pic:spPr>
                </pic:pic>
              </a:graphicData>
            </a:graphic>
          </wp:anchor>
        </w:drawing>
      </w: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rPr>
          <w:rFonts w:hint="eastAsia" w:ascii="宋体" w:hAnsi="宋体" w:eastAsia="宋体" w:cs="宋体"/>
          <w:color w:val="auto"/>
          <w:sz w:val="24"/>
        </w:rPr>
      </w:pPr>
    </w:p>
    <w:p>
      <w:pPr>
        <w:pStyle w:val="2"/>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color w:val="auto"/>
          <w:kern w:val="2"/>
          <w:sz w:val="24"/>
          <w:szCs w:val="24"/>
          <w:lang w:val="en-US" w:eastAsia="zh-CN" w:bidi="ar-SA"/>
        </w:rPr>
      </w:pPr>
      <w:r>
        <w:rPr>
          <w:rFonts w:hint="eastAsia" w:ascii="楷体_GB2312" w:hAnsi="楷体_GB2312" w:eastAsia="楷体_GB2312" w:cs="楷体_GB2312"/>
          <w:color w:val="auto"/>
          <w:kern w:val="2"/>
          <w:sz w:val="24"/>
          <w:szCs w:val="24"/>
          <w:lang w:val="zh-CN" w:eastAsia="zh-CN" w:bidi="ar-SA"/>
          <w14:ligatures w14:val="standardContextual"/>
        </w:rPr>
        <w:t>图</w:t>
      </w:r>
      <w:r>
        <w:rPr>
          <w:rFonts w:hint="eastAsia" w:ascii="楷体_GB2312" w:hAnsi="楷体_GB2312" w:eastAsia="楷体_GB2312" w:cs="楷体_GB2312"/>
          <w:color w:val="auto"/>
          <w:kern w:val="2"/>
          <w:sz w:val="24"/>
          <w:szCs w:val="24"/>
          <w:lang w:val="en-US" w:eastAsia="zh-CN" w:bidi="ar-SA"/>
          <w14:ligatures w14:val="standardContextual"/>
        </w:rPr>
        <w:t>2-7-4</w:t>
      </w:r>
      <w:r>
        <w:rPr>
          <w:rFonts w:hint="eastAsia" w:ascii="楷体_GB2312" w:hAnsi="楷体_GB2312" w:eastAsia="楷体_GB2312" w:cs="楷体_GB2312"/>
          <w:color w:val="auto"/>
          <w:kern w:val="2"/>
          <w:sz w:val="24"/>
          <w:szCs w:val="24"/>
          <w:lang w:val="zh-CN" w:eastAsia="zh-CN" w:bidi="ar-SA"/>
          <w14:ligatures w14:val="standardContextual"/>
        </w:rPr>
        <w:t xml:space="preserve"> </w:t>
      </w:r>
      <w:r>
        <w:rPr>
          <w:rFonts w:hint="eastAsia" w:ascii="楷体_GB2312" w:hAnsi="楷体_GB2312" w:eastAsia="楷体_GB2312" w:cs="楷体_GB2312"/>
          <w:color w:val="auto"/>
          <w:kern w:val="2"/>
          <w:sz w:val="24"/>
          <w:szCs w:val="24"/>
          <w:lang w:val="en-US" w:eastAsia="zh-CN" w:bidi="ar-SA"/>
          <w14:ligatures w14:val="standardContextual"/>
        </w:rPr>
        <w:t xml:space="preserve"> 光纤钻孔3剖面图</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3）地面微震监测：在压裂井周围地表按设计坐标布设检波器，构建地面微震监测台网，实时采集压裂过程中岩体破裂产生的微震事件。通过对微震事件的空间定位、能量计算及震级分析，动态反演裂缝的扩展方向、延伸长度、宽度及高度等几何特征参数。评价裂缝扩展是否覆盖预定防控层位，判断压裂成缝效果是否满足工程要求。</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w:t>
      </w:r>
      <w:r>
        <w:rPr>
          <w:rFonts w:hint="eastAsia" w:ascii="宋体" w:hAnsi="宋体" w:cs="宋体"/>
          <w:color w:val="auto"/>
          <w:kern w:val="2"/>
          <w:sz w:val="24"/>
          <w:szCs w:val="24"/>
          <w:lang w:val="en-US" w:eastAsia="zh-CN" w:bidi="ar-SA"/>
        </w:rPr>
        <w:t>六</w:t>
      </w:r>
      <w:r>
        <w:rPr>
          <w:rFonts w:hint="eastAsia" w:ascii="宋体" w:hAnsi="宋体" w:eastAsia="宋体" w:cs="宋体"/>
          <w:color w:val="auto"/>
          <w:kern w:val="2"/>
          <w:sz w:val="24"/>
          <w:szCs w:val="24"/>
          <w:lang w:val="en-US" w:eastAsia="zh-CN" w:bidi="ar-SA"/>
        </w:rPr>
        <w:t>）回采期间效果检验</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回采期间效果检验侧重于压裂后工作面回采期间相关矿压数据的综合评价分析，采用多源监测手段进行全周期评价：</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1）巷道变形监测：定期观测巷道顶底板移近量、两帮收敛量等变形指标。通过对监测数据的动态分析，掌握巷道围岩变形速率及累计变形量的变化规律，与东翼104工作面回采期间巷道变形量进行对比，评价地面压裂区域应力调控及卸压保护效果；</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2）钻孔应力计监测：在回采巷道两帮煤体内布设钻孔应力计，持续监测采动影响下煤体应力的动态演化规律。通过分析应力曲线随工作面推进的变化特征，掌握超前支承压力峰值位置、峰值大小及影响范围。将实测应力数据与未实施地面压裂的东翼104工作面回采期间应力监测结果进行对比，评价地面压裂区域应力调控及卸压保护效果；</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3）支架工作阻力监测：实时监测支架工作阻力变化，通过对支架阻力曲线的动态分析，掌握顶板来压步距、来压强度及周期来压规律。将实测数据与未实施地面压裂的东翼104工作面回采期间支架阻力监测结果进行对比，评价地面压裂厚硬覆岩弱化及结构调控效果；</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4）微震监测：分析压裂期间井下微震监测系统监测数据，分析回采期间覆岩破裂微震事件的时空分布及能量释放特征。将实测数据与未实施地面压裂的东翼104工作面回采期间微震监测结果进行对比，分析微震能量能级特征，评价地面压裂覆岩结构调控及卸压释能效果。</w:t>
      </w:r>
    </w:p>
    <w:bookmarkEnd w:id="173"/>
    <w:p>
      <w:pPr>
        <w:pStyle w:val="57"/>
        <w:keepNext w:val="0"/>
        <w:keepLines w:val="0"/>
        <w:pageBreakBefore w:val="0"/>
        <w:widowControl w:val="0"/>
        <w:kinsoku/>
        <w:wordWrap/>
        <w:overflowPunct/>
        <w:topLinePunct w:val="0"/>
        <w:autoSpaceDE/>
        <w:autoSpaceDN/>
        <w:bidi w:val="0"/>
        <w:adjustRightInd/>
        <w:snapToGrid/>
        <w:spacing w:line="540" w:lineRule="exact"/>
        <w:ind w:firstLine="482" w:firstLineChars="200"/>
        <w:textAlignment w:val="auto"/>
        <w:outlineLvl w:val="9"/>
        <w:rPr>
          <w:rFonts w:hint="default"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二、检测站点布置</w:t>
      </w:r>
    </w:p>
    <w:p>
      <w:pPr>
        <w:pStyle w:val="57"/>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eastAsia" w:ascii="宋体" w:hAnsi="宋体" w:eastAsia="宋体" w:cs="宋体"/>
          <w:color w:val="auto"/>
          <w:lang w:val="zh-CN"/>
        </w:rPr>
      </w:pPr>
      <w:r>
        <w:rPr>
          <w:rFonts w:hint="eastAsia" w:ascii="宋体" w:hAnsi="宋体" w:eastAsia="宋体" w:cs="宋体"/>
          <w:color w:val="auto"/>
          <w:sz w:val="24"/>
          <w:szCs w:val="24"/>
          <w:lang w:val="en-US" w:eastAsia="zh-CN"/>
        </w:rPr>
        <w:t>检测</w:t>
      </w:r>
      <w:r>
        <w:rPr>
          <w:rFonts w:hint="eastAsia" w:ascii="宋体" w:hAnsi="宋体" w:eastAsia="宋体" w:cs="宋体"/>
          <w:color w:val="auto"/>
          <w:lang w:val="zh-CN"/>
        </w:rPr>
        <w:t>现场勘察：</w:t>
      </w:r>
      <w:r>
        <w:rPr>
          <w:rFonts w:hint="eastAsia" w:ascii="宋体" w:hAnsi="宋体" w:eastAsia="宋体" w:cs="宋体"/>
          <w:color w:val="auto"/>
          <w:sz w:val="24"/>
          <w:szCs w:val="24"/>
        </w:rPr>
        <w:t>红会第一煤矿</w:t>
      </w:r>
      <w:r>
        <w:rPr>
          <w:rFonts w:hint="eastAsia" w:ascii="宋体" w:hAnsi="宋体" w:eastAsia="宋体" w:cs="宋体"/>
          <w:color w:val="auto"/>
          <w:sz w:val="24"/>
          <w:szCs w:val="24"/>
          <w:lang w:val="en-US" w:eastAsia="zh-CN"/>
        </w:rPr>
        <w:t>分公司</w:t>
      </w:r>
      <w:r>
        <w:rPr>
          <w:rFonts w:hint="eastAsia" w:ascii="宋体" w:hAnsi="宋体" w:eastAsia="宋体" w:cs="宋体"/>
          <w:color w:val="auto"/>
          <w:lang w:val="en-US" w:eastAsia="zh-CN"/>
        </w:rPr>
        <w:t>矿</w:t>
      </w:r>
      <w:r>
        <w:rPr>
          <w:rFonts w:hint="eastAsia" w:ascii="宋体" w:hAnsi="宋体" w:eastAsia="宋体" w:cs="宋体"/>
          <w:color w:val="auto"/>
          <w:lang w:val="zh-CN"/>
        </w:rPr>
        <w:t>井位置、地形、地貌以及井轨迹走向；</w:t>
      </w:r>
    </w:p>
    <w:p>
      <w:pPr>
        <w:pStyle w:val="57"/>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eastAsia" w:ascii="宋体" w:hAnsi="宋体" w:eastAsia="宋体" w:cs="宋体"/>
          <w:color w:val="auto"/>
          <w:lang w:val="zh-CN"/>
        </w:rPr>
      </w:pPr>
      <w:r>
        <w:rPr>
          <w:rFonts w:hint="eastAsia" w:ascii="宋体" w:hAnsi="宋体" w:eastAsia="宋体" w:cs="宋体"/>
          <w:color w:val="auto"/>
          <w:lang w:val="zh-CN"/>
        </w:rPr>
        <w:t>布设</w:t>
      </w:r>
      <w:r>
        <w:rPr>
          <w:rFonts w:hint="eastAsia" w:ascii="宋体" w:hAnsi="宋体" w:eastAsia="宋体" w:cs="宋体"/>
          <w:color w:val="auto"/>
          <w:sz w:val="24"/>
          <w:szCs w:val="24"/>
          <w:lang w:val="en-US" w:eastAsia="zh-CN"/>
        </w:rPr>
        <w:t>检测</w:t>
      </w:r>
      <w:r>
        <w:rPr>
          <w:rFonts w:hint="eastAsia" w:ascii="宋体" w:hAnsi="宋体" w:eastAsia="宋体" w:cs="宋体"/>
          <w:color w:val="auto"/>
          <w:lang w:val="zh-CN"/>
        </w:rPr>
        <w:t>分站，记录各分站</w:t>
      </w:r>
      <w:r>
        <w:rPr>
          <w:rFonts w:hint="eastAsia" w:cs="宋体"/>
          <w:color w:val="auto"/>
          <w:lang w:val="en-US" w:eastAsia="zh-CN"/>
        </w:rPr>
        <w:t>坐</w:t>
      </w:r>
      <w:r>
        <w:rPr>
          <w:rFonts w:hint="eastAsia" w:ascii="宋体" w:hAnsi="宋体" w:eastAsia="宋体" w:cs="宋体"/>
          <w:color w:val="auto"/>
          <w:lang w:val="zh-CN"/>
        </w:rPr>
        <w:t>标，并求出各分站相对于井口的位置；</w:t>
      </w:r>
    </w:p>
    <w:p>
      <w:pPr>
        <w:pStyle w:val="57"/>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eastAsia" w:ascii="宋体" w:hAnsi="宋体" w:eastAsia="宋体" w:cs="宋体"/>
          <w:color w:val="auto"/>
          <w:lang w:val="zh-CN"/>
        </w:rPr>
      </w:pPr>
      <w:r>
        <w:rPr>
          <w:rFonts w:hint="eastAsia" w:ascii="宋体" w:hAnsi="宋体" w:eastAsia="宋体" w:cs="宋体"/>
          <w:color w:val="auto"/>
          <w:lang w:val="zh-CN"/>
        </w:rPr>
        <w:t>系统参数设置及调试：打开主分站仪器，调试主分站之间的通信联络、数据传输，并进行参数设置；</w:t>
      </w:r>
    </w:p>
    <w:p>
      <w:pPr>
        <w:pStyle w:val="57"/>
        <w:keepNext w:val="0"/>
        <w:keepLines w:val="0"/>
        <w:pageBreakBefore w:val="0"/>
        <w:widowControl w:val="0"/>
        <w:kinsoku/>
        <w:wordWrap/>
        <w:overflowPunct/>
        <w:topLinePunct w:val="0"/>
        <w:autoSpaceDE/>
        <w:autoSpaceDN/>
        <w:bidi w:val="0"/>
        <w:adjustRightInd/>
        <w:snapToGrid/>
        <w:spacing w:line="540" w:lineRule="exact"/>
        <w:ind w:firstLine="480" w:firstLineChars="200"/>
        <w:textAlignment w:val="auto"/>
        <w:outlineLvl w:val="9"/>
        <w:rPr>
          <w:rFonts w:hint="eastAsia" w:ascii="宋体" w:hAnsi="宋体" w:eastAsia="宋体" w:cs="宋体"/>
          <w:color w:val="auto"/>
          <w:lang w:val="zh-CN"/>
        </w:rPr>
      </w:pPr>
      <w:r>
        <w:rPr>
          <w:rFonts w:hint="eastAsia" w:ascii="宋体" w:hAnsi="宋体" w:eastAsia="宋体" w:cs="宋体"/>
          <w:color w:val="auto"/>
          <w:lang w:val="zh-CN"/>
        </w:rPr>
        <w:t>初步确定地面</w:t>
      </w:r>
      <w:r>
        <w:rPr>
          <w:rFonts w:hint="eastAsia" w:ascii="宋体" w:hAnsi="宋体" w:eastAsia="宋体" w:cs="宋体"/>
          <w:color w:val="auto"/>
          <w:sz w:val="24"/>
          <w:szCs w:val="24"/>
          <w:lang w:val="en-US" w:eastAsia="zh-CN"/>
        </w:rPr>
        <w:t>检测</w:t>
      </w:r>
      <w:r>
        <w:rPr>
          <w:rFonts w:hint="eastAsia" w:ascii="宋体" w:hAnsi="宋体" w:eastAsia="宋体" w:cs="宋体"/>
          <w:color w:val="auto"/>
          <w:lang w:val="zh-CN"/>
        </w:rPr>
        <w:t>点布置方式</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见</w:t>
      </w:r>
      <w:r>
        <w:rPr>
          <w:rFonts w:hint="eastAsia" w:ascii="宋体" w:hAnsi="宋体" w:eastAsia="宋体" w:cs="宋体"/>
          <w:color w:val="auto"/>
          <w:lang w:val="zh-CN"/>
        </w:rPr>
        <w:t>图</w:t>
      </w:r>
      <w:r>
        <w:rPr>
          <w:rFonts w:hint="eastAsia" w:ascii="宋体" w:hAnsi="宋体" w:eastAsia="宋体" w:cs="宋体"/>
          <w:color w:val="auto"/>
          <w:lang w:val="en-US" w:eastAsia="zh-CN"/>
        </w:rPr>
        <w:t>2-7-</w:t>
      </w:r>
      <w:r>
        <w:rPr>
          <w:rFonts w:hint="eastAsia" w:ascii="宋体" w:hAnsi="宋体" w:eastAsia="宋体" w:cs="宋体"/>
          <w:color w:val="auto"/>
          <w:lang w:val="zh-CN"/>
        </w:rPr>
        <w:t>1</w:t>
      </w:r>
      <w:r>
        <w:rPr>
          <w:rFonts w:hint="eastAsia" w:ascii="宋体" w:hAnsi="宋体" w:cs="宋体"/>
          <w:color w:val="auto"/>
          <w:sz w:val="24"/>
          <w:szCs w:val="24"/>
          <w:lang w:eastAsia="zh-CN"/>
        </w:rPr>
        <w:t>）</w:t>
      </w:r>
      <w:r>
        <w:rPr>
          <w:rFonts w:hint="eastAsia" w:ascii="宋体" w:hAnsi="宋体" w:eastAsia="宋体" w:cs="宋体"/>
          <w:color w:val="auto"/>
          <w:lang w:val="zh-CN"/>
        </w:rPr>
        <w:t>，每三个压裂段布置一组测点用以</w:t>
      </w:r>
      <w:r>
        <w:rPr>
          <w:rFonts w:hint="eastAsia" w:ascii="宋体" w:hAnsi="宋体" w:eastAsia="宋体" w:cs="宋体"/>
          <w:color w:val="auto"/>
          <w:sz w:val="24"/>
          <w:szCs w:val="24"/>
          <w:lang w:val="en-US" w:eastAsia="zh-CN"/>
        </w:rPr>
        <w:t>检测</w:t>
      </w:r>
      <w:r>
        <w:rPr>
          <w:rFonts w:hint="eastAsia" w:ascii="宋体" w:hAnsi="宋体" w:eastAsia="宋体" w:cs="宋体"/>
          <w:color w:val="auto"/>
          <w:lang w:val="zh-CN"/>
        </w:rPr>
        <w:t>各压裂段裂缝扩展时的微地震时间，每组共有10个测点，沿井筒上下两侧分布，各测点坐标如表</w:t>
      </w:r>
      <w:r>
        <w:rPr>
          <w:rFonts w:hint="eastAsia" w:ascii="宋体" w:hAnsi="宋体" w:eastAsia="宋体" w:cs="宋体"/>
          <w:color w:val="auto"/>
          <w:lang w:val="en-US" w:eastAsia="zh-CN"/>
        </w:rPr>
        <w:t>2-7</w:t>
      </w:r>
      <w:r>
        <w:rPr>
          <w:rFonts w:hint="eastAsia" w:ascii="宋体" w:hAnsi="宋体" w:eastAsia="宋体" w:cs="宋体"/>
          <w:color w:val="auto"/>
          <w:lang w:val="zh-CN"/>
        </w:rPr>
        <w:t>-</w:t>
      </w:r>
      <w:r>
        <w:rPr>
          <w:rFonts w:hint="eastAsia" w:ascii="宋体" w:hAnsi="宋体" w:eastAsia="宋体" w:cs="宋体"/>
          <w:color w:val="auto"/>
          <w:lang w:val="en-US" w:eastAsia="zh-CN"/>
        </w:rPr>
        <w:t>1</w:t>
      </w:r>
      <w:r>
        <w:rPr>
          <w:rFonts w:hint="eastAsia" w:ascii="宋体" w:hAnsi="宋体" w:eastAsia="宋体" w:cs="宋体"/>
          <w:color w:val="auto"/>
          <w:lang w:val="zh-CN"/>
        </w:rPr>
        <w:t>所示，测点坐标可依据现场地表条件进行调整。</w:t>
      </w:r>
    </w:p>
    <w:p>
      <w:pPr>
        <w:pStyle w:val="57"/>
        <w:keepNext w:val="0"/>
        <w:keepLines w:val="0"/>
        <w:pageBreakBefore w:val="0"/>
        <w:kinsoku/>
        <w:wordWrap/>
        <w:overflowPunct/>
        <w:topLinePunct w:val="0"/>
        <w:autoSpaceDE/>
        <w:autoSpaceDN/>
        <w:bidi w:val="0"/>
        <w:adjustRightInd/>
        <w:snapToGrid/>
        <w:outlineLvl w:val="9"/>
        <w:rPr>
          <w:rFonts w:hint="eastAsia"/>
          <w:color w:val="auto"/>
          <w:lang w:val="zh-CN"/>
        </w:rPr>
      </w:pPr>
      <w:r>
        <w:rPr>
          <w:color w:val="auto"/>
          <w14:ligatures w14:val="none"/>
        </w:rPr>
        <w:drawing>
          <wp:anchor distT="0" distB="0" distL="0" distR="0" simplePos="0" relativeHeight="251702272" behindDoc="0" locked="0" layoutInCell="1" allowOverlap="1">
            <wp:simplePos x="0" y="0"/>
            <wp:positionH relativeFrom="column">
              <wp:posOffset>2540</wp:posOffset>
            </wp:positionH>
            <wp:positionV relativeFrom="paragraph">
              <wp:posOffset>100965</wp:posOffset>
            </wp:positionV>
            <wp:extent cx="5859780" cy="2051685"/>
            <wp:effectExtent l="0" t="0" r="7620" b="5715"/>
            <wp:wrapNone/>
            <wp:docPr id="10263047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304718" name="图片 1"/>
                    <pic:cNvPicPr>
                      <a:picLocks noChangeAspect="1"/>
                    </pic:cNvPicPr>
                  </pic:nvPicPr>
                  <pic:blipFill>
                    <a:blip r:embed="rId126"/>
                    <a:stretch>
                      <a:fillRect/>
                    </a:stretch>
                  </pic:blipFill>
                  <pic:spPr>
                    <a:xfrm>
                      <a:off x="0" y="0"/>
                      <a:ext cx="5859780" cy="2051685"/>
                    </a:xfrm>
                    <a:prstGeom prst="rect">
                      <a:avLst/>
                    </a:prstGeom>
                  </pic:spPr>
                </pic:pic>
              </a:graphicData>
            </a:graphic>
          </wp:anchor>
        </w:drawing>
      </w:r>
    </w:p>
    <w:p>
      <w:pPr>
        <w:pStyle w:val="57"/>
        <w:keepNext w:val="0"/>
        <w:keepLines w:val="0"/>
        <w:pageBreakBefore w:val="0"/>
        <w:kinsoku/>
        <w:wordWrap/>
        <w:overflowPunct/>
        <w:topLinePunct w:val="0"/>
        <w:autoSpaceDE/>
        <w:autoSpaceDN/>
        <w:bidi w:val="0"/>
        <w:adjustRightInd/>
        <w:snapToGrid/>
        <w:outlineLvl w:val="9"/>
        <w:rPr>
          <w:rFonts w:hint="eastAsia"/>
          <w:color w:val="auto"/>
          <w:lang w:val="zh-CN"/>
        </w:rPr>
      </w:pPr>
    </w:p>
    <w:p>
      <w:pPr>
        <w:pStyle w:val="57"/>
        <w:keepNext w:val="0"/>
        <w:keepLines w:val="0"/>
        <w:pageBreakBefore w:val="0"/>
        <w:kinsoku/>
        <w:wordWrap/>
        <w:overflowPunct/>
        <w:topLinePunct w:val="0"/>
        <w:autoSpaceDE/>
        <w:autoSpaceDN/>
        <w:bidi w:val="0"/>
        <w:adjustRightInd/>
        <w:snapToGrid/>
        <w:outlineLvl w:val="9"/>
        <w:rPr>
          <w:rFonts w:hint="eastAsia"/>
          <w:color w:val="auto"/>
          <w:lang w:val="zh-CN"/>
        </w:rPr>
      </w:pPr>
    </w:p>
    <w:p>
      <w:pPr>
        <w:pStyle w:val="57"/>
        <w:keepNext w:val="0"/>
        <w:keepLines w:val="0"/>
        <w:pageBreakBefore w:val="0"/>
        <w:kinsoku/>
        <w:wordWrap/>
        <w:overflowPunct/>
        <w:topLinePunct w:val="0"/>
        <w:autoSpaceDE/>
        <w:autoSpaceDN/>
        <w:bidi w:val="0"/>
        <w:adjustRightInd/>
        <w:snapToGrid/>
        <w:outlineLvl w:val="9"/>
        <w:rPr>
          <w:rFonts w:hint="eastAsia"/>
          <w:color w:val="auto"/>
          <w:lang w:val="zh-CN"/>
        </w:rPr>
      </w:pPr>
    </w:p>
    <w:p>
      <w:pPr>
        <w:pStyle w:val="57"/>
        <w:keepNext w:val="0"/>
        <w:keepLines w:val="0"/>
        <w:pageBreakBefore w:val="0"/>
        <w:kinsoku/>
        <w:wordWrap/>
        <w:overflowPunct/>
        <w:topLinePunct w:val="0"/>
        <w:autoSpaceDE/>
        <w:autoSpaceDN/>
        <w:bidi w:val="0"/>
        <w:adjustRightInd/>
        <w:snapToGrid/>
        <w:outlineLvl w:val="9"/>
        <w:rPr>
          <w:rFonts w:hint="eastAsia"/>
          <w:color w:val="auto"/>
          <w:lang w:val="zh-CN"/>
        </w:rPr>
      </w:pPr>
    </w:p>
    <w:p>
      <w:pPr>
        <w:pStyle w:val="57"/>
        <w:keepNext w:val="0"/>
        <w:keepLines w:val="0"/>
        <w:pageBreakBefore w:val="0"/>
        <w:kinsoku/>
        <w:wordWrap/>
        <w:overflowPunct/>
        <w:topLinePunct w:val="0"/>
        <w:autoSpaceDE/>
        <w:autoSpaceDN/>
        <w:bidi w:val="0"/>
        <w:adjustRightInd/>
        <w:snapToGrid/>
        <w:outlineLvl w:val="9"/>
        <w:rPr>
          <w:rFonts w:hint="eastAsia"/>
          <w:color w:val="auto"/>
          <w:lang w:val="zh-CN"/>
        </w:rPr>
      </w:pPr>
    </w:p>
    <w:p>
      <w:pPr>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hint="eastAsia" w:ascii="楷体_GB2312" w:hAnsi="楷体_GB2312" w:eastAsia="楷体_GB2312" w:cs="楷体_GB2312"/>
          <w:color w:val="auto"/>
          <w:kern w:val="2"/>
          <w:sz w:val="24"/>
          <w:szCs w:val="24"/>
          <w:lang w:val="zh-CN" w:eastAsia="zh-CN" w:bidi="ar-SA"/>
          <w14:ligatures w14:val="standardContextual"/>
        </w:rPr>
      </w:pPr>
      <w:r>
        <w:rPr>
          <w:rFonts w:hint="eastAsia" w:ascii="楷体_GB2312" w:hAnsi="楷体_GB2312" w:eastAsia="楷体_GB2312" w:cs="楷体_GB2312"/>
          <w:color w:val="auto"/>
          <w:kern w:val="2"/>
          <w:sz w:val="24"/>
          <w:szCs w:val="24"/>
          <w:lang w:val="zh-CN" w:eastAsia="zh-CN" w:bidi="ar-SA"/>
          <w14:ligatures w14:val="standardContextual"/>
        </w:rPr>
        <w:t>图</w:t>
      </w:r>
      <w:r>
        <w:rPr>
          <w:rFonts w:hint="eastAsia" w:ascii="楷体_GB2312" w:hAnsi="楷体_GB2312" w:eastAsia="楷体_GB2312" w:cs="楷体_GB2312"/>
          <w:color w:val="auto"/>
          <w:kern w:val="2"/>
          <w:sz w:val="24"/>
          <w:szCs w:val="24"/>
          <w:lang w:val="en-US" w:eastAsia="zh-CN" w:bidi="ar-SA"/>
          <w14:ligatures w14:val="standardContextual"/>
        </w:rPr>
        <w:t>2-7-5</w:t>
      </w:r>
      <w:r>
        <w:rPr>
          <w:rFonts w:hint="eastAsia" w:ascii="楷体_GB2312" w:hAnsi="楷体_GB2312" w:eastAsia="楷体_GB2312" w:cs="楷体_GB2312"/>
          <w:color w:val="auto"/>
          <w:kern w:val="2"/>
          <w:sz w:val="24"/>
          <w:szCs w:val="24"/>
          <w:lang w:val="zh-CN" w:eastAsia="zh-CN" w:bidi="ar-SA"/>
          <w14:ligatures w14:val="standardContextual"/>
        </w:rPr>
        <w:t xml:space="preserve"> </w:t>
      </w:r>
      <w:r>
        <w:rPr>
          <w:rFonts w:hint="eastAsia" w:ascii="楷体_GB2312" w:hAnsi="楷体_GB2312" w:eastAsia="楷体_GB2312" w:cs="楷体_GB2312"/>
          <w:color w:val="auto"/>
          <w:kern w:val="2"/>
          <w:sz w:val="24"/>
          <w:szCs w:val="24"/>
          <w:lang w:val="en-US" w:eastAsia="zh-CN" w:bidi="ar-SA"/>
          <w14:ligatures w14:val="standardContextual"/>
        </w:rPr>
        <w:t xml:space="preserve"> </w:t>
      </w:r>
      <w:r>
        <w:rPr>
          <w:rFonts w:hint="eastAsia" w:ascii="楷体_GB2312" w:hAnsi="楷体_GB2312" w:eastAsia="楷体_GB2312" w:cs="楷体_GB2312"/>
          <w:color w:val="auto"/>
          <w:kern w:val="2"/>
          <w:sz w:val="24"/>
          <w:szCs w:val="24"/>
          <w:lang w:val="zh-CN" w:eastAsia="zh-CN" w:bidi="ar-SA"/>
          <w14:ligatures w14:val="standardContextual"/>
        </w:rPr>
        <w:t>地面测点布置图</w:t>
      </w:r>
    </w:p>
    <w:p>
      <w:pPr>
        <w:pStyle w:val="57"/>
        <w:keepNext w:val="0"/>
        <w:keepLines w:val="0"/>
        <w:pageBreakBefore w:val="0"/>
        <w:widowControl w:val="0"/>
        <w:kinsoku/>
        <w:wordWrap/>
        <w:overflowPunct/>
        <w:topLinePunct w:val="0"/>
        <w:autoSpaceDE/>
        <w:autoSpaceDN/>
        <w:bidi w:val="0"/>
        <w:adjustRightInd/>
        <w:snapToGrid/>
        <w:spacing w:line="500" w:lineRule="exact"/>
        <w:ind w:left="0" w:leftChars="0" w:firstLine="0" w:firstLineChars="0"/>
        <w:jc w:val="both"/>
        <w:textAlignment w:val="auto"/>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2-7</w:t>
      </w:r>
      <w:r>
        <w:rPr>
          <w:rFonts w:hint="eastAsia" w:ascii="楷体_GB2312" w:hAnsi="楷体_GB2312" w:eastAsia="楷体_GB2312" w:cs="楷体_GB2312"/>
          <w:color w:val="auto"/>
          <w:lang w:val="zh-CN" w:eastAsia="zh-CN"/>
        </w:rPr>
        <w:t>-</w:t>
      </w:r>
      <w:r>
        <w:rPr>
          <w:rFonts w:hint="eastAsia" w:ascii="楷体_GB2312" w:hAnsi="楷体_GB2312" w:eastAsia="楷体_GB2312" w:cs="楷体_GB2312"/>
          <w:color w:val="auto"/>
          <w:lang w:val="en-US" w:eastAsia="zh-CN"/>
        </w:rPr>
        <w:t xml:space="preserve">1                     </w:t>
      </w:r>
      <w:r>
        <w:rPr>
          <w:rFonts w:hint="eastAsia" w:ascii="楷体_GB2312" w:hAnsi="楷体_GB2312" w:eastAsia="楷体_GB2312" w:cs="楷体_GB2312"/>
          <w:color w:val="auto"/>
          <w:lang w:val="zh-CN" w:eastAsia="zh-CN"/>
        </w:rPr>
        <w:t xml:space="preserve"> 地面测点坐标</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2272"/>
        <w:gridCol w:w="2307"/>
        <w:gridCol w:w="2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2440" w:type="pct"/>
            <w:gridSpan w:val="2"/>
            <w:vMerge w:val="restar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default"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color w:val="auto"/>
                <w:kern w:val="0"/>
                <w:sz w:val="21"/>
                <w:szCs w:val="21"/>
                <w:u w:color="FF0000"/>
                <w:lang w:val="en-US" w:eastAsia="zh-CN" w:bidi="ar"/>
              </w:rPr>
              <w:t>测点</w:t>
            </w:r>
          </w:p>
        </w:tc>
        <w:tc>
          <w:tcPr>
            <w:tcW w:w="2559" w:type="pct"/>
            <w:gridSpan w:val="2"/>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b w:val="0"/>
                <w:bCs/>
                <w:color w:val="auto"/>
                <w:sz w:val="21"/>
                <w:szCs w:val="21"/>
                <w:lang w:val="en-US" w:eastAsia="zh-CN"/>
              </w:rPr>
            </w:pPr>
            <w:r>
              <w:rPr>
                <w:rFonts w:hint="eastAsia" w:ascii="楷体_GB2312" w:hAnsi="楷体_GB2312" w:eastAsia="楷体_GB2312" w:cs="楷体_GB2312"/>
                <w:b w:val="0"/>
                <w:bCs/>
                <w:color w:val="auto"/>
                <w:sz w:val="21"/>
                <w:szCs w:val="21"/>
                <w:lang w:val="en-US" w:eastAsia="zh-CN"/>
              </w:rPr>
              <w:t>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2440" w:type="pct"/>
            <w:gridSpan w:val="2"/>
            <w:vMerge w:val="continue"/>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b w:val="0"/>
                <w:bCs/>
                <w:color w:val="auto"/>
                <w:sz w:val="21"/>
                <w:szCs w:val="21"/>
                <w:lang w:val="en-US" w:eastAsia="zh-CN"/>
              </w:rPr>
            </w:pPr>
            <w:r>
              <w:rPr>
                <w:rFonts w:hint="eastAsia" w:ascii="楷体_GB2312" w:hAnsi="楷体_GB2312" w:eastAsia="楷体_GB2312" w:cs="楷体_GB2312"/>
                <w:b w:val="0"/>
                <w:bCs/>
                <w:color w:val="auto"/>
                <w:sz w:val="21"/>
                <w:szCs w:val="21"/>
                <w:lang w:val="en-US" w:eastAsia="zh-CN"/>
              </w:rPr>
              <w:t>X</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b w:val="0"/>
                <w:bCs/>
                <w:color w:val="auto"/>
                <w:sz w:val="21"/>
                <w:szCs w:val="21"/>
                <w:lang w:val="en-US" w:eastAsia="zh-CN"/>
              </w:rPr>
            </w:pPr>
            <w:r>
              <w:rPr>
                <w:rFonts w:hint="eastAsia" w:ascii="楷体_GB2312" w:hAnsi="楷体_GB2312" w:eastAsia="楷体_GB2312" w:cs="楷体_GB2312"/>
                <w:b w:val="0"/>
                <w:bCs/>
                <w:color w:val="auto"/>
                <w:sz w:val="21"/>
                <w:szCs w:val="21"/>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restar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压裂段</w:t>
            </w:r>
          </w:p>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1-3</w:t>
            </w: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4058015.39</w:t>
            </w:r>
            <w:r>
              <w:rPr>
                <w:rFonts w:hint="eastAsia" w:ascii="楷体_GB2312" w:hAnsi="楷体_GB2312" w:eastAsia="楷体_GB2312" w:cs="楷体_GB2312"/>
                <w:b w:val="0"/>
                <w:bCs/>
                <w:color w:val="auto"/>
                <w:sz w:val="21"/>
                <w:szCs w:val="21"/>
                <w:lang w:val="en-US" w:eastAsia="zh-CN"/>
              </w:rPr>
              <w:t>2</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35503659.38</w:t>
            </w:r>
            <w:r>
              <w:rPr>
                <w:rFonts w:hint="eastAsia" w:ascii="楷体_GB2312" w:hAnsi="楷体_GB2312" w:eastAsia="楷体_GB2312" w:cs="楷体_GB2312"/>
                <w:b w:val="0"/>
                <w:bCs/>
                <w:color w:val="auto"/>
                <w:sz w:val="21"/>
                <w:szCs w:val="21"/>
                <w:lang w:val="en-US" w:eastAsia="zh-CN"/>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2</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4057987.10</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35503703.80</w:t>
            </w:r>
            <w:r>
              <w:rPr>
                <w:rFonts w:hint="eastAsia" w:ascii="楷体_GB2312" w:hAnsi="楷体_GB2312" w:eastAsia="楷体_GB2312" w:cs="楷体_GB2312"/>
                <w:b w:val="0"/>
                <w:bCs/>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3</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4057974.83</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35503754.56</w:t>
            </w:r>
            <w:r>
              <w:rPr>
                <w:rFonts w:hint="eastAsia" w:ascii="楷体_GB2312" w:hAnsi="楷体_GB2312" w:eastAsia="楷体_GB2312" w:cs="楷体_GB2312"/>
                <w:b w:val="0"/>
                <w:bCs/>
                <w:color w:val="auto"/>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4</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4057955.55</w:t>
            </w:r>
            <w:r>
              <w:rPr>
                <w:rFonts w:hint="eastAsia" w:ascii="楷体_GB2312" w:hAnsi="楷体_GB2312" w:eastAsia="楷体_GB2312" w:cs="楷体_GB2312"/>
                <w:b w:val="0"/>
                <w:bCs/>
                <w:color w:val="auto"/>
                <w:sz w:val="21"/>
                <w:szCs w:val="21"/>
                <w:lang w:val="en-US" w:eastAsia="zh-CN"/>
              </w:rPr>
              <w:t>3</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35503804.61</w:t>
            </w:r>
            <w:r>
              <w:rPr>
                <w:rFonts w:hint="eastAsia" w:ascii="楷体_GB2312" w:hAnsi="楷体_GB2312" w:eastAsia="楷体_GB2312" w:cs="楷体_GB2312"/>
                <w:b w:val="0"/>
                <w:bCs/>
                <w:color w:val="auto"/>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5</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4057937.58</w:t>
            </w:r>
            <w:r>
              <w:rPr>
                <w:rFonts w:hint="eastAsia" w:ascii="楷体_GB2312" w:hAnsi="楷体_GB2312" w:eastAsia="楷体_GB2312" w:cs="楷体_GB2312"/>
                <w:b w:val="0"/>
                <w:bCs/>
                <w:color w:val="auto"/>
                <w:sz w:val="21"/>
                <w:szCs w:val="21"/>
                <w:lang w:val="en-US" w:eastAsia="zh-CN"/>
              </w:rPr>
              <w:t>5</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35503846.85</w:t>
            </w:r>
            <w:r>
              <w:rPr>
                <w:rFonts w:hint="eastAsia" w:ascii="楷体_GB2312" w:hAnsi="楷体_GB2312" w:eastAsia="楷体_GB2312" w:cs="楷体_GB2312"/>
                <w:b w:val="0"/>
                <w:bCs/>
                <w:color w:val="auto"/>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6</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4058183.88</w:t>
            </w:r>
            <w:r>
              <w:rPr>
                <w:rFonts w:hint="eastAsia" w:ascii="楷体_GB2312" w:hAnsi="楷体_GB2312" w:eastAsia="楷体_GB2312" w:cs="楷体_GB2312"/>
                <w:b w:val="0"/>
                <w:bCs/>
                <w:color w:val="auto"/>
                <w:sz w:val="21"/>
                <w:szCs w:val="21"/>
                <w:lang w:val="en-US" w:eastAsia="zh-CN"/>
              </w:rPr>
              <w:t>4</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35503728.19</w:t>
            </w:r>
            <w:r>
              <w:rPr>
                <w:rFonts w:hint="eastAsia" w:ascii="楷体_GB2312" w:hAnsi="楷体_GB2312" w:eastAsia="楷体_GB2312" w:cs="楷体_GB2312"/>
                <w:b w:val="0"/>
                <w:bCs/>
                <w:color w:val="auto"/>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7</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4058166.72</w:t>
            </w:r>
            <w:r>
              <w:rPr>
                <w:rFonts w:hint="eastAsia" w:ascii="楷体_GB2312" w:hAnsi="楷体_GB2312" w:eastAsia="楷体_GB2312" w:cs="楷体_GB2312"/>
                <w:b w:val="0"/>
                <w:bCs/>
                <w:color w:val="auto"/>
                <w:sz w:val="21"/>
                <w:szCs w:val="21"/>
                <w:lang w:val="en-US" w:eastAsia="zh-CN"/>
              </w:rPr>
              <w:t>5</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35503782.20</w:t>
            </w:r>
            <w:r>
              <w:rPr>
                <w:rFonts w:hint="eastAsia" w:ascii="楷体_GB2312" w:hAnsi="楷体_GB2312" w:eastAsia="楷体_GB2312" w:cs="楷体_GB2312"/>
                <w:b w:val="0"/>
                <w:bCs/>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8</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4058148.09</w:t>
            </w:r>
            <w:r>
              <w:rPr>
                <w:rFonts w:hint="eastAsia" w:ascii="楷体_GB2312" w:hAnsi="楷体_GB2312" w:eastAsia="楷体_GB2312" w:cs="楷体_GB2312"/>
                <w:b w:val="0"/>
                <w:bCs/>
                <w:color w:val="auto"/>
                <w:sz w:val="21"/>
                <w:szCs w:val="21"/>
                <w:lang w:val="en-US" w:eastAsia="zh-CN"/>
              </w:rPr>
              <w:t>5</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35503823.87</w:t>
            </w:r>
            <w:r>
              <w:rPr>
                <w:rFonts w:hint="eastAsia" w:ascii="楷体_GB2312" w:hAnsi="楷体_GB2312" w:eastAsia="楷体_GB2312" w:cs="楷体_GB2312"/>
                <w:b w:val="0"/>
                <w:bCs/>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9</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4057130.98</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35503867.71</w:t>
            </w:r>
            <w:r>
              <w:rPr>
                <w:rFonts w:hint="eastAsia" w:ascii="楷体_GB2312" w:hAnsi="楷体_GB2312" w:eastAsia="楷体_GB2312" w:cs="楷体_GB2312"/>
                <w:b w:val="0"/>
                <w:bCs/>
                <w:color w:val="auto"/>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10</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4058108.00</w:t>
            </w:r>
            <w:r>
              <w:rPr>
                <w:rFonts w:hint="eastAsia" w:ascii="楷体_GB2312" w:hAnsi="楷体_GB2312" w:eastAsia="楷体_GB2312" w:cs="楷体_GB2312"/>
                <w:b w:val="0"/>
                <w:bCs/>
                <w:color w:val="auto"/>
                <w:sz w:val="21"/>
                <w:szCs w:val="21"/>
                <w:lang w:val="en-US" w:eastAsia="zh-CN"/>
              </w:rPr>
              <w:t>4</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35503913.05</w:t>
            </w:r>
            <w:r>
              <w:rPr>
                <w:rFonts w:hint="eastAsia" w:ascii="楷体_GB2312" w:hAnsi="楷体_GB2312" w:eastAsia="楷体_GB2312" w:cs="楷体_GB2312"/>
                <w:b w:val="0"/>
                <w:bCs/>
                <w:color w:val="auto"/>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restar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压裂段</w:t>
            </w:r>
          </w:p>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4-6</w:t>
            </w: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4057918.35</w:t>
            </w:r>
            <w:r>
              <w:rPr>
                <w:rFonts w:hint="eastAsia" w:ascii="楷体_GB2312" w:hAnsi="楷体_GB2312" w:eastAsia="楷体_GB2312" w:cs="楷体_GB2312"/>
                <w:b w:val="0"/>
                <w:bCs/>
                <w:color w:val="auto"/>
                <w:sz w:val="21"/>
                <w:szCs w:val="21"/>
                <w:lang w:val="en-US" w:eastAsia="zh-CN"/>
              </w:rPr>
              <w:t>6</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35503880.41</w:t>
            </w:r>
            <w:r>
              <w:rPr>
                <w:rFonts w:hint="eastAsia" w:ascii="楷体_GB2312" w:hAnsi="楷体_GB2312" w:eastAsia="楷体_GB2312" w:cs="楷体_GB2312"/>
                <w:b w:val="0"/>
                <w:bCs/>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2</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4057893.58</w:t>
            </w:r>
            <w:r>
              <w:rPr>
                <w:rFonts w:hint="eastAsia" w:ascii="楷体_GB2312" w:hAnsi="楷体_GB2312" w:eastAsia="楷体_GB2312" w:cs="楷体_GB2312"/>
                <w:b w:val="0"/>
                <w:bCs/>
                <w:color w:val="auto"/>
                <w:sz w:val="21"/>
                <w:szCs w:val="21"/>
                <w:lang w:val="en-US" w:eastAsia="zh-CN"/>
              </w:rPr>
              <w:t>2</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35503923.97</w:t>
            </w:r>
            <w:r>
              <w:rPr>
                <w:rFonts w:hint="eastAsia" w:ascii="楷体_GB2312" w:hAnsi="楷体_GB2312" w:eastAsia="楷体_GB2312" w:cs="楷体_GB2312"/>
                <w:b w:val="0"/>
                <w:bCs/>
                <w:color w:val="auto"/>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3</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4057870.31</w:t>
            </w:r>
            <w:r>
              <w:rPr>
                <w:rFonts w:hint="eastAsia" w:ascii="楷体_GB2312" w:hAnsi="楷体_GB2312" w:eastAsia="楷体_GB2312" w:cs="楷体_GB2312"/>
                <w:b w:val="0"/>
                <w:bCs/>
                <w:color w:val="auto"/>
                <w:sz w:val="21"/>
                <w:szCs w:val="21"/>
                <w:lang w:val="en-US" w:eastAsia="zh-CN"/>
              </w:rPr>
              <w:t>3</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35503978.28</w:t>
            </w:r>
            <w:r>
              <w:rPr>
                <w:rFonts w:hint="eastAsia" w:ascii="楷体_GB2312" w:hAnsi="楷体_GB2312" w:eastAsia="楷体_GB2312" w:cs="楷体_GB2312"/>
                <w:b w:val="0"/>
                <w:bCs/>
                <w:color w:val="auto"/>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4</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4057838.53</w:t>
            </w:r>
            <w:r>
              <w:rPr>
                <w:rFonts w:hint="eastAsia" w:ascii="楷体_GB2312" w:hAnsi="楷体_GB2312" w:eastAsia="楷体_GB2312" w:cs="楷体_GB2312"/>
                <w:b w:val="0"/>
                <w:bCs/>
                <w:color w:val="auto"/>
                <w:sz w:val="21"/>
                <w:szCs w:val="21"/>
                <w:lang w:val="en-US" w:eastAsia="zh-CN"/>
              </w:rPr>
              <w:t>4</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35504023.60</w:t>
            </w:r>
            <w:r>
              <w:rPr>
                <w:rFonts w:hint="eastAsia" w:ascii="楷体_GB2312" w:hAnsi="楷体_GB2312" w:eastAsia="楷体_GB2312" w:cs="楷体_GB2312"/>
                <w:b w:val="0"/>
                <w:bCs/>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5</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4057810.36</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35504071.51</w:t>
            </w:r>
            <w:r>
              <w:rPr>
                <w:rFonts w:hint="eastAsia" w:ascii="楷体_GB2312" w:hAnsi="楷体_GB2312" w:eastAsia="楷体_GB2312" w:cs="楷体_GB2312"/>
                <w:b w:val="0"/>
                <w:bCs/>
                <w:color w:val="auto"/>
                <w:sz w:val="21"/>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6</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4058079.05</w:t>
            </w:r>
            <w:r>
              <w:rPr>
                <w:rFonts w:hint="eastAsia" w:ascii="楷体_GB2312" w:hAnsi="楷体_GB2312" w:eastAsia="楷体_GB2312" w:cs="楷体_GB2312"/>
                <w:b w:val="0"/>
                <w:bCs/>
                <w:color w:val="auto"/>
                <w:sz w:val="21"/>
                <w:szCs w:val="21"/>
                <w:lang w:val="en-US" w:eastAsia="zh-CN"/>
              </w:rPr>
              <w:t>6</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35503970.24</w:t>
            </w:r>
            <w:r>
              <w:rPr>
                <w:rFonts w:hint="eastAsia" w:ascii="楷体_GB2312" w:hAnsi="楷体_GB2312" w:eastAsia="楷体_GB2312" w:cs="楷体_GB2312"/>
                <w:b w:val="0"/>
                <w:bCs/>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7</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4058048.01</w:t>
            </w:r>
            <w:r>
              <w:rPr>
                <w:rFonts w:hint="eastAsia" w:ascii="楷体_GB2312" w:hAnsi="楷体_GB2312" w:eastAsia="楷体_GB2312" w:cs="楷体_GB2312"/>
                <w:b w:val="0"/>
                <w:bCs/>
                <w:color w:val="auto"/>
                <w:sz w:val="21"/>
                <w:szCs w:val="21"/>
                <w:lang w:val="en-US" w:eastAsia="zh-CN"/>
              </w:rPr>
              <w:t>3</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35504022.01</w:t>
            </w:r>
            <w:r>
              <w:rPr>
                <w:rFonts w:hint="eastAsia" w:ascii="楷体_GB2312" w:hAnsi="楷体_GB2312" w:eastAsia="楷体_GB2312" w:cs="楷体_GB2312"/>
                <w:b w:val="0"/>
                <w:bCs/>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8</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4058023.18</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35504067.98</w:t>
            </w:r>
            <w:r>
              <w:rPr>
                <w:rFonts w:hint="eastAsia" w:ascii="楷体_GB2312" w:hAnsi="楷体_GB2312" w:eastAsia="楷体_GB2312" w:cs="楷体_GB2312"/>
                <w:b w:val="0"/>
                <w:bCs/>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9</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4057999.98</w:t>
            </w:r>
            <w:r>
              <w:rPr>
                <w:rFonts w:hint="eastAsia" w:ascii="楷体_GB2312" w:hAnsi="楷体_GB2312" w:eastAsia="楷体_GB2312" w:cs="楷体_GB2312"/>
                <w:b w:val="0"/>
                <w:bCs/>
                <w:color w:val="auto"/>
                <w:sz w:val="21"/>
                <w:szCs w:val="21"/>
                <w:lang w:val="en-US" w:eastAsia="zh-CN"/>
              </w:rPr>
              <w:t>2</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35504110.66</w:t>
            </w:r>
            <w:r>
              <w:rPr>
                <w:rFonts w:hint="eastAsia" w:ascii="楷体_GB2312" w:hAnsi="楷体_GB2312" w:eastAsia="楷体_GB2312" w:cs="楷体_GB2312"/>
                <w:b w:val="0"/>
                <w:bCs/>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10</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4057981.73</w:t>
            </w:r>
            <w:r>
              <w:rPr>
                <w:rFonts w:hint="eastAsia" w:ascii="楷体_GB2312" w:hAnsi="楷体_GB2312" w:eastAsia="楷体_GB2312" w:cs="楷体_GB2312"/>
                <w:b w:val="0"/>
                <w:bCs/>
                <w:color w:val="auto"/>
                <w:sz w:val="21"/>
                <w:szCs w:val="21"/>
                <w:lang w:val="en-US" w:eastAsia="zh-CN"/>
              </w:rPr>
              <w:t>5</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35504154.05</w:t>
            </w:r>
            <w:r>
              <w:rPr>
                <w:rFonts w:hint="eastAsia" w:ascii="楷体_GB2312" w:hAnsi="楷体_GB2312" w:eastAsia="楷体_GB2312" w:cs="楷体_GB2312"/>
                <w:b w:val="0"/>
                <w:bCs/>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restar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压裂段</w:t>
            </w:r>
          </w:p>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7-9</w:t>
            </w: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4057783.75</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35504112</w:t>
            </w:r>
            <w:r>
              <w:rPr>
                <w:rFonts w:hint="eastAsia" w:ascii="楷体_GB2312" w:hAnsi="楷体_GB2312" w:eastAsia="楷体_GB2312" w:cs="楷体_GB2312"/>
                <w:b w:val="0"/>
                <w:bCs/>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2</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4057759.81</w:t>
            </w:r>
            <w:r>
              <w:rPr>
                <w:rFonts w:hint="eastAsia" w:ascii="楷体_GB2312" w:hAnsi="楷体_GB2312" w:eastAsia="楷体_GB2312" w:cs="楷体_GB2312"/>
                <w:b w:val="0"/>
                <w:bCs/>
                <w:color w:val="auto"/>
                <w:sz w:val="21"/>
                <w:szCs w:val="21"/>
                <w:lang w:val="en-US" w:eastAsia="zh-CN"/>
              </w:rPr>
              <w:t>2</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35504158.07</w:t>
            </w:r>
            <w:r>
              <w:rPr>
                <w:rFonts w:hint="eastAsia" w:ascii="楷体_GB2312" w:hAnsi="楷体_GB2312" w:eastAsia="楷体_GB2312" w:cs="楷体_GB2312"/>
                <w:b w:val="0"/>
                <w:bCs/>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3</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4057741.05</w:t>
            </w:r>
            <w:r>
              <w:rPr>
                <w:rFonts w:hint="eastAsia" w:ascii="楷体_GB2312" w:hAnsi="楷体_GB2312" w:eastAsia="楷体_GB2312" w:cs="楷体_GB2312"/>
                <w:b w:val="0"/>
                <w:bCs/>
                <w:color w:val="auto"/>
                <w:sz w:val="21"/>
                <w:szCs w:val="21"/>
                <w:lang w:val="en-US" w:eastAsia="zh-CN"/>
              </w:rPr>
              <w:t>2</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35504198.95</w:t>
            </w:r>
            <w:r>
              <w:rPr>
                <w:rFonts w:hint="eastAsia" w:ascii="楷体_GB2312" w:hAnsi="楷体_GB2312" w:eastAsia="楷体_GB2312" w:cs="楷体_GB2312"/>
                <w:b w:val="0"/>
                <w:bCs/>
                <w:color w:val="auto"/>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4</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4057718.67</w:t>
            </w:r>
            <w:r>
              <w:rPr>
                <w:rFonts w:hint="eastAsia" w:ascii="楷体_GB2312" w:hAnsi="楷体_GB2312" w:eastAsia="楷体_GB2312" w:cs="楷体_GB2312"/>
                <w:b w:val="0"/>
                <w:bCs/>
                <w:color w:val="auto"/>
                <w:sz w:val="21"/>
                <w:szCs w:val="21"/>
                <w:lang w:val="en-US" w:eastAsia="zh-CN"/>
              </w:rPr>
              <w:t>6</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default"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35504249.5</w:t>
            </w:r>
            <w:r>
              <w:rPr>
                <w:rFonts w:hint="eastAsia" w:ascii="楷体_GB2312" w:hAnsi="楷体_GB2312" w:eastAsia="楷体_GB2312" w:cs="楷体_GB2312"/>
                <w:b w:val="0"/>
                <w:bCs/>
                <w:color w:val="auto"/>
                <w:sz w:val="21"/>
                <w:szCs w:val="21"/>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5</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4057701.85</w:t>
            </w:r>
            <w:r>
              <w:rPr>
                <w:rFonts w:hint="eastAsia" w:ascii="楷体_GB2312" w:hAnsi="楷体_GB2312" w:eastAsia="楷体_GB2312" w:cs="楷体_GB2312"/>
                <w:b w:val="0"/>
                <w:bCs/>
                <w:color w:val="auto"/>
                <w:sz w:val="21"/>
                <w:szCs w:val="21"/>
                <w:lang w:val="en-US" w:eastAsia="zh-CN"/>
              </w:rPr>
              <w:t>9</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35504289.55</w:t>
            </w:r>
            <w:r>
              <w:rPr>
                <w:rFonts w:hint="eastAsia" w:ascii="楷体_GB2312" w:hAnsi="楷体_GB2312" w:eastAsia="楷体_GB2312" w:cs="楷体_GB2312"/>
                <w:b w:val="0"/>
                <w:bCs/>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6</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4057954.14</w:t>
            </w:r>
            <w:r>
              <w:rPr>
                <w:rFonts w:hint="eastAsia" w:ascii="楷体_GB2312" w:hAnsi="楷体_GB2312" w:eastAsia="楷体_GB2312" w:cs="楷体_GB2312"/>
                <w:b w:val="0"/>
                <w:bCs/>
                <w:color w:val="auto"/>
                <w:sz w:val="21"/>
                <w:szCs w:val="21"/>
                <w:lang w:val="en-US" w:eastAsia="zh-CN"/>
              </w:rPr>
              <w:t>8</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35504198.31</w:t>
            </w:r>
            <w:r>
              <w:rPr>
                <w:rFonts w:hint="eastAsia" w:ascii="楷体_GB2312" w:hAnsi="楷体_GB2312" w:eastAsia="楷体_GB2312" w:cs="楷体_GB2312"/>
                <w:b w:val="0"/>
                <w:bCs/>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7</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4057930.77</w:t>
            </w:r>
            <w:r>
              <w:rPr>
                <w:rFonts w:hint="eastAsia" w:ascii="楷体_GB2312" w:hAnsi="楷体_GB2312" w:eastAsia="楷体_GB2312" w:cs="楷体_GB2312"/>
                <w:b w:val="0"/>
                <w:bCs/>
                <w:color w:val="auto"/>
                <w:sz w:val="21"/>
                <w:szCs w:val="21"/>
                <w:lang w:val="en-US" w:eastAsia="zh-CN"/>
              </w:rPr>
              <w:t>7</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35504246.78</w:t>
            </w:r>
            <w:r>
              <w:rPr>
                <w:rFonts w:hint="eastAsia" w:ascii="楷体_GB2312" w:hAnsi="楷体_GB2312" w:eastAsia="楷体_GB2312" w:cs="楷体_GB2312"/>
                <w:b w:val="0"/>
                <w:bCs/>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8</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default"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4057897.3</w:t>
            </w:r>
            <w:r>
              <w:rPr>
                <w:rFonts w:hint="eastAsia" w:ascii="楷体_GB2312" w:hAnsi="楷体_GB2312" w:eastAsia="楷体_GB2312" w:cs="楷体_GB2312"/>
                <w:b w:val="0"/>
                <w:bCs/>
                <w:color w:val="auto"/>
                <w:sz w:val="21"/>
                <w:szCs w:val="21"/>
                <w:lang w:val="en-US" w:eastAsia="zh-CN"/>
              </w:rPr>
              <w:t>04</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default"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35504300.2</w:t>
            </w:r>
            <w:r>
              <w:rPr>
                <w:rFonts w:hint="eastAsia" w:ascii="楷体_GB2312" w:hAnsi="楷体_GB2312" w:eastAsia="楷体_GB2312" w:cs="楷体_GB2312"/>
                <w:b w:val="0"/>
                <w:bCs/>
                <w:color w:val="auto"/>
                <w:sz w:val="21"/>
                <w:szCs w:val="21"/>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9</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4057877.68</w:t>
            </w:r>
            <w:r>
              <w:rPr>
                <w:rFonts w:hint="eastAsia" w:ascii="楷体_GB2312" w:hAnsi="楷体_GB2312" w:eastAsia="楷体_GB2312" w:cs="楷体_GB2312"/>
                <w:b w:val="0"/>
                <w:bCs/>
                <w:color w:val="auto"/>
                <w:sz w:val="21"/>
                <w:szCs w:val="21"/>
                <w:lang w:val="en-US" w:eastAsia="zh-CN"/>
              </w:rPr>
              <w:t>6</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35504349.68</w:t>
            </w:r>
            <w:r>
              <w:rPr>
                <w:rFonts w:hint="eastAsia" w:ascii="楷体_GB2312" w:hAnsi="楷体_GB2312" w:eastAsia="楷体_GB2312" w:cs="楷体_GB2312"/>
                <w:b w:val="0"/>
                <w:bCs/>
                <w:color w:val="auto"/>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10</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4057856.05</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35504394.94</w:t>
            </w:r>
            <w:r>
              <w:rPr>
                <w:rFonts w:hint="eastAsia" w:ascii="楷体_GB2312" w:hAnsi="楷体_GB2312" w:eastAsia="楷体_GB2312" w:cs="楷体_GB2312"/>
                <w:b w:val="0"/>
                <w:bCs/>
                <w:color w:val="auto"/>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restar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压裂段</w:t>
            </w:r>
          </w:p>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r>
              <w:rPr>
                <w:rFonts w:hint="eastAsia" w:ascii="楷体_GB2312" w:hAnsi="楷体_GB2312" w:eastAsia="楷体_GB2312" w:cs="楷体_GB2312"/>
                <w:b w:val="0"/>
                <w:bCs/>
                <w:color w:val="auto"/>
                <w:sz w:val="21"/>
                <w:szCs w:val="21"/>
                <w:lang w:val="zh-CN"/>
              </w:rPr>
              <w:t>10-11</w:t>
            </w: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4057687.79</w:t>
            </w:r>
            <w:r>
              <w:rPr>
                <w:rFonts w:hint="eastAsia" w:ascii="楷体_GB2312" w:hAnsi="楷体_GB2312" w:eastAsia="楷体_GB2312" w:cs="楷体_GB2312"/>
                <w:b w:val="0"/>
                <w:bCs/>
                <w:color w:val="auto"/>
                <w:sz w:val="21"/>
                <w:szCs w:val="21"/>
                <w:lang w:val="en-US" w:eastAsia="zh-CN"/>
              </w:rPr>
              <w:t>2</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35504326.69</w:t>
            </w:r>
            <w:r>
              <w:rPr>
                <w:rFonts w:hint="eastAsia" w:ascii="楷体_GB2312" w:hAnsi="楷体_GB2312" w:eastAsia="楷体_GB2312" w:cs="楷体_GB2312"/>
                <w:b w:val="0"/>
                <w:bCs/>
                <w:color w:val="auto"/>
                <w:sz w:val="21"/>
                <w:szCs w:val="21"/>
                <w:lang w:val="en-US" w:eastAsia="zh-CN"/>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2</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4057668.38</w:t>
            </w:r>
            <w:r>
              <w:rPr>
                <w:rFonts w:hint="eastAsia" w:ascii="楷体_GB2312" w:hAnsi="楷体_GB2312" w:eastAsia="楷体_GB2312" w:cs="楷体_GB2312"/>
                <w:b w:val="0"/>
                <w:bCs/>
                <w:color w:val="auto"/>
                <w:sz w:val="21"/>
                <w:szCs w:val="21"/>
                <w:lang w:val="en-US" w:eastAsia="zh-CN"/>
              </w:rPr>
              <w:t>3</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35504362.36</w:t>
            </w:r>
            <w:r>
              <w:rPr>
                <w:rFonts w:hint="eastAsia" w:ascii="楷体_GB2312" w:hAnsi="楷体_GB2312" w:eastAsia="楷体_GB2312" w:cs="楷体_GB2312"/>
                <w:b w:val="0"/>
                <w:bCs/>
                <w:color w:val="auto"/>
                <w:sz w:val="21"/>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3</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4057648.36</w:t>
            </w:r>
            <w:r>
              <w:rPr>
                <w:rFonts w:hint="eastAsia" w:ascii="楷体_GB2312" w:hAnsi="楷体_GB2312" w:eastAsia="楷体_GB2312" w:cs="楷体_GB2312"/>
                <w:b w:val="0"/>
                <w:bCs/>
                <w:color w:val="auto"/>
                <w:sz w:val="21"/>
                <w:szCs w:val="21"/>
                <w:lang w:val="en-US" w:eastAsia="zh-CN"/>
              </w:rPr>
              <w:t>5</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35504394.73</w:t>
            </w:r>
            <w:r>
              <w:rPr>
                <w:rFonts w:hint="eastAsia" w:ascii="楷体_GB2312" w:hAnsi="楷体_GB2312" w:eastAsia="楷体_GB2312" w:cs="楷体_GB2312"/>
                <w:b w:val="0"/>
                <w:bCs/>
                <w:color w:val="auto"/>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4</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4057631.62</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35504433.19</w:t>
            </w:r>
            <w:r>
              <w:rPr>
                <w:rFonts w:hint="eastAsia" w:ascii="楷体_GB2312" w:hAnsi="楷体_GB2312" w:eastAsia="楷体_GB2312" w:cs="楷体_GB2312"/>
                <w:b w:val="0"/>
                <w:bCs/>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5</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4057616.89</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35504464.59</w:t>
            </w:r>
            <w:r>
              <w:rPr>
                <w:rFonts w:hint="eastAsia" w:ascii="楷体_GB2312" w:hAnsi="楷体_GB2312" w:eastAsia="楷体_GB2312" w:cs="楷体_GB2312"/>
                <w:b w:val="0"/>
                <w:bCs/>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6</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4057841.23</w:t>
            </w:r>
            <w:r>
              <w:rPr>
                <w:rFonts w:hint="eastAsia" w:ascii="楷体_GB2312" w:hAnsi="楷体_GB2312" w:eastAsia="楷体_GB2312" w:cs="楷体_GB2312"/>
                <w:b w:val="0"/>
                <w:bCs/>
                <w:color w:val="auto"/>
                <w:sz w:val="21"/>
                <w:szCs w:val="21"/>
                <w:lang w:val="en-US" w:eastAsia="zh-CN"/>
              </w:rPr>
              <w:t>2</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35504431.78</w:t>
            </w:r>
            <w:r>
              <w:rPr>
                <w:rFonts w:hint="eastAsia" w:ascii="楷体_GB2312" w:hAnsi="楷体_GB2312" w:eastAsia="楷体_GB2312" w:cs="楷体_GB2312"/>
                <w:b w:val="0"/>
                <w:bCs/>
                <w:color w:val="auto"/>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7</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4057818.97</w:t>
            </w:r>
            <w:r>
              <w:rPr>
                <w:rFonts w:hint="eastAsia" w:ascii="楷体_GB2312" w:hAnsi="楷体_GB2312" w:eastAsia="楷体_GB2312" w:cs="楷体_GB2312"/>
                <w:b w:val="0"/>
                <w:bCs/>
                <w:color w:val="auto"/>
                <w:sz w:val="21"/>
                <w:szCs w:val="21"/>
                <w:lang w:val="en-US" w:eastAsia="zh-CN"/>
              </w:rPr>
              <w:t>3</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35504474.67</w:t>
            </w:r>
            <w:r>
              <w:rPr>
                <w:rFonts w:hint="eastAsia" w:ascii="楷体_GB2312" w:hAnsi="楷体_GB2312" w:eastAsia="楷体_GB2312" w:cs="楷体_GB2312"/>
                <w:b w:val="0"/>
                <w:bCs/>
                <w:color w:val="auto"/>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8</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4057797.16</w:t>
            </w:r>
            <w:r>
              <w:rPr>
                <w:rFonts w:hint="eastAsia" w:ascii="楷体_GB2312" w:hAnsi="楷体_GB2312" w:eastAsia="楷体_GB2312" w:cs="楷体_GB2312"/>
                <w:b w:val="0"/>
                <w:bCs/>
                <w:color w:val="auto"/>
                <w:sz w:val="21"/>
                <w:szCs w:val="21"/>
                <w:lang w:val="en-US" w:eastAsia="zh-CN"/>
              </w:rPr>
              <w:t>5</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default"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35504514.3</w:t>
            </w:r>
            <w:r>
              <w:rPr>
                <w:rFonts w:hint="eastAsia" w:ascii="楷体_GB2312" w:hAnsi="楷体_GB2312" w:eastAsia="楷体_GB2312" w:cs="楷体_GB2312"/>
                <w:b w:val="0"/>
                <w:bCs/>
                <w:color w:val="auto"/>
                <w:sz w:val="21"/>
                <w:szCs w:val="21"/>
                <w:lang w:val="en-US"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9</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4057770.13</w:t>
            </w:r>
            <w:r>
              <w:rPr>
                <w:rFonts w:hint="eastAsia" w:ascii="楷体_GB2312" w:hAnsi="楷体_GB2312" w:eastAsia="楷体_GB2312" w:cs="楷体_GB2312"/>
                <w:b w:val="0"/>
                <w:bCs/>
                <w:color w:val="auto"/>
                <w:sz w:val="21"/>
                <w:szCs w:val="21"/>
                <w:lang w:val="en-US" w:eastAsia="zh-CN"/>
              </w:rPr>
              <w:t>1</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35504545.66</w:t>
            </w:r>
            <w:r>
              <w:rPr>
                <w:rFonts w:hint="eastAsia" w:ascii="楷体_GB2312" w:hAnsi="楷体_GB2312" w:eastAsia="楷体_GB2312" w:cs="楷体_GB2312"/>
                <w:b w:val="0"/>
                <w:bCs/>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7" w:type="pct"/>
            <w:vMerge w:val="continue"/>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outlineLvl w:val="9"/>
              <w:rPr>
                <w:rFonts w:hint="eastAsia" w:ascii="楷体_GB2312" w:hAnsi="楷体_GB2312" w:eastAsia="楷体_GB2312" w:cs="楷体_GB2312"/>
                <w:b w:val="0"/>
                <w:bCs/>
                <w:color w:val="auto"/>
                <w:sz w:val="21"/>
                <w:szCs w:val="21"/>
                <w:lang w:val="zh-CN"/>
              </w:rPr>
            </w:pPr>
          </w:p>
        </w:tc>
        <w:tc>
          <w:tcPr>
            <w:tcW w:w="1222" w:type="pct"/>
            <w:vAlign w:val="center"/>
          </w:tcPr>
          <w:p>
            <w:pPr>
              <w:keepNext w:val="0"/>
              <w:keepLines w:val="0"/>
              <w:pageBreakBefore w:val="0"/>
              <w:widowControl/>
              <w:kinsoku/>
              <w:wordWrap/>
              <w:overflowPunct/>
              <w:topLinePunct w:val="0"/>
              <w:autoSpaceDE/>
              <w:autoSpaceDN/>
              <w:bidi w:val="0"/>
              <w:adjustRightInd/>
              <w:snapToGrid/>
              <w:spacing w:line="420" w:lineRule="exact"/>
              <w:ind w:firstLine="0" w:firstLineChars="0"/>
              <w:jc w:val="center"/>
              <w:textAlignment w:val="center"/>
              <w:outlineLvl w:val="9"/>
              <w:rPr>
                <w:rFonts w:hint="eastAsia" w:ascii="楷体_GB2312" w:hAnsi="楷体_GB2312" w:eastAsia="楷体_GB2312" w:cs="楷体_GB2312"/>
                <w:color w:val="auto"/>
                <w:kern w:val="0"/>
                <w:sz w:val="21"/>
                <w:szCs w:val="21"/>
                <w:u w:color="FF0000"/>
                <w:lang w:val="zh-CN" w:bidi="ar"/>
              </w:rPr>
            </w:pPr>
            <w:r>
              <w:rPr>
                <w:rFonts w:hint="eastAsia" w:ascii="楷体_GB2312" w:hAnsi="楷体_GB2312" w:eastAsia="楷体_GB2312" w:cs="楷体_GB2312"/>
                <w:color w:val="auto"/>
                <w:kern w:val="0"/>
                <w:sz w:val="21"/>
                <w:szCs w:val="21"/>
                <w:u w:color="FF0000"/>
                <w:lang w:val="zh-CN" w:bidi="ar"/>
              </w:rPr>
              <w:t>10</w:t>
            </w:r>
          </w:p>
        </w:tc>
        <w:tc>
          <w:tcPr>
            <w:tcW w:w="1242"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eastAsia"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4057755.69</w:t>
            </w:r>
            <w:r>
              <w:rPr>
                <w:rFonts w:hint="eastAsia" w:ascii="楷体_GB2312" w:hAnsi="楷体_GB2312" w:eastAsia="楷体_GB2312" w:cs="楷体_GB2312"/>
                <w:b w:val="0"/>
                <w:bCs/>
                <w:color w:val="auto"/>
                <w:sz w:val="21"/>
                <w:szCs w:val="21"/>
                <w:lang w:val="en-US" w:eastAsia="zh-CN"/>
              </w:rPr>
              <w:t>0</w:t>
            </w:r>
          </w:p>
        </w:tc>
        <w:tc>
          <w:tcPr>
            <w:tcW w:w="1317" w:type="pct"/>
            <w:vAlign w:val="center"/>
          </w:tcPr>
          <w:p>
            <w:pPr>
              <w:pStyle w:val="2"/>
              <w:keepNext w:val="0"/>
              <w:keepLines w:val="0"/>
              <w:pageBreakBefore w:val="0"/>
              <w:kinsoku/>
              <w:wordWrap/>
              <w:overflowPunct/>
              <w:topLinePunct w:val="0"/>
              <w:autoSpaceDE/>
              <w:autoSpaceDN/>
              <w:bidi w:val="0"/>
              <w:adjustRightInd/>
              <w:snapToGrid/>
              <w:spacing w:after="0" w:line="420" w:lineRule="exact"/>
              <w:ind w:firstLine="0" w:firstLineChars="0"/>
              <w:jc w:val="center"/>
              <w:textAlignment w:val="center"/>
              <w:rPr>
                <w:rFonts w:hint="default" w:ascii="楷体_GB2312" w:hAnsi="楷体_GB2312" w:eastAsia="楷体_GB2312" w:cs="楷体_GB2312"/>
                <w:color w:val="auto"/>
                <w:kern w:val="0"/>
                <w:sz w:val="21"/>
                <w:szCs w:val="21"/>
                <w:u w:color="FF0000"/>
                <w:lang w:val="en-US" w:eastAsia="zh-CN" w:bidi="ar"/>
              </w:rPr>
            </w:pPr>
            <w:r>
              <w:rPr>
                <w:rFonts w:hint="eastAsia" w:ascii="楷体_GB2312" w:hAnsi="楷体_GB2312" w:eastAsia="楷体_GB2312" w:cs="楷体_GB2312"/>
                <w:b w:val="0"/>
                <w:bCs/>
                <w:color w:val="auto"/>
                <w:sz w:val="21"/>
                <w:szCs w:val="21"/>
              </w:rPr>
              <w:t>35504585.8</w:t>
            </w:r>
            <w:r>
              <w:rPr>
                <w:rFonts w:hint="eastAsia" w:ascii="楷体_GB2312" w:hAnsi="楷体_GB2312" w:eastAsia="楷体_GB2312" w:cs="楷体_GB2312"/>
                <w:b w:val="0"/>
                <w:bCs/>
                <w:color w:val="auto"/>
                <w:sz w:val="21"/>
                <w:szCs w:val="21"/>
                <w:lang w:val="en-US" w:eastAsia="zh-CN"/>
              </w:rPr>
              <w:t>02</w:t>
            </w:r>
          </w:p>
        </w:tc>
      </w:tr>
      <w:bookmarkEnd w:id="81"/>
      <w:bookmarkEnd w:id="82"/>
      <w:bookmarkEnd w:id="121"/>
      <w:bookmarkEnd w:id="122"/>
    </w:tbl>
    <w:p>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74" w:name="_Toc15953"/>
      <w:r>
        <w:rPr>
          <w:rFonts w:hint="eastAsia" w:ascii="黑体" w:hAnsi="黑体" w:eastAsia="黑体" w:cs="黑体"/>
          <w:b/>
          <w:bCs/>
          <w:color w:val="auto"/>
          <w:sz w:val="28"/>
          <w:szCs w:val="28"/>
          <w:lang w:val="en-US" w:eastAsia="zh-CN"/>
        </w:rPr>
        <w:t>第八节  压裂工具组合</w:t>
      </w:r>
      <w:bookmarkEnd w:id="174"/>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0" w:firstLineChars="200"/>
        <w:textAlignment w:val="auto"/>
        <w:rPr>
          <w:rFonts w:hint="default"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一、</w:t>
      </w:r>
      <w:r>
        <w:rPr>
          <w:rFonts w:hint="eastAsia" w:ascii="宋体" w:hAnsi="宋体" w:eastAsia="宋体" w:cs="宋体"/>
          <w:color w:val="auto"/>
          <w:kern w:val="2"/>
          <w:sz w:val="24"/>
          <w:szCs w:val="24"/>
          <w:lang w:val="zh-CN" w:eastAsia="zh-CN" w:bidi="ar-SA"/>
        </w:rPr>
        <w:t>压裂液及化工料</w:t>
      </w:r>
      <w:r>
        <w:rPr>
          <w:rFonts w:hint="eastAsia" w:ascii="宋体" w:hAnsi="宋体" w:eastAsia="宋体" w:cs="宋体"/>
          <w:color w:val="auto"/>
          <w:kern w:val="2"/>
          <w:sz w:val="24"/>
          <w:szCs w:val="24"/>
          <w:lang w:val="en-US" w:eastAsia="zh-CN" w:bidi="ar-SA"/>
        </w:rPr>
        <w:t>见表2-8-1</w:t>
      </w:r>
      <w:r>
        <w:rPr>
          <w:rFonts w:hint="eastAsia" w:ascii="宋体" w:hAnsi="宋体" w:cs="宋体"/>
          <w:color w:val="auto"/>
          <w:kern w:val="2"/>
          <w:sz w:val="24"/>
          <w:szCs w:val="24"/>
          <w:lang w:val="en-US" w:eastAsia="zh-CN" w:bidi="ar-SA"/>
        </w:rPr>
        <w:t>。</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 xml:space="preserve">2-8-1                     </w:t>
      </w:r>
      <w:r>
        <w:rPr>
          <w:rFonts w:hint="eastAsia" w:ascii="楷体_GB2312" w:hAnsi="楷体_GB2312" w:eastAsia="楷体_GB2312" w:cs="楷体_GB2312"/>
          <w:color w:val="auto"/>
          <w:lang w:val="zh-CN" w:eastAsia="zh-CN"/>
        </w:rPr>
        <w:t xml:space="preserve"> 压裂液及化工料准备表</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100"/>
        <w:gridCol w:w="5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82"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施工液名称</w:t>
            </w:r>
          </w:p>
        </w:tc>
        <w:tc>
          <w:tcPr>
            <w:tcW w:w="113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lang w:eastAsia="zh-CN"/>
              </w:rPr>
            </w:pPr>
            <w:r>
              <w:rPr>
                <w:rFonts w:hint="eastAsia" w:ascii="楷体_GB2312" w:hAnsi="楷体_GB2312" w:eastAsia="楷体_GB2312" w:cs="楷体_GB2312"/>
                <w:color w:val="auto"/>
                <w:sz w:val="21"/>
                <w:szCs w:val="21"/>
              </w:rPr>
              <w:t>用量</w:t>
            </w:r>
            <w:r>
              <w:rPr>
                <w:rFonts w:hint="eastAsia" w:ascii="楷体_GB2312" w:hAnsi="楷体_GB2312" w:eastAsia="楷体_GB2312" w:cs="楷体_GB2312"/>
                <w:color w:val="auto"/>
                <w:sz w:val="21"/>
                <w:szCs w:val="21"/>
                <w:lang w:eastAsia="zh-CN"/>
              </w:rPr>
              <w:t>（</w:t>
            </w:r>
            <w:r>
              <w:rPr>
                <w:rFonts w:hint="eastAsia" w:ascii="楷体_GB2312" w:hAnsi="楷体_GB2312" w:eastAsia="楷体_GB2312" w:cs="楷体_GB2312"/>
                <w:color w:val="auto"/>
                <w:sz w:val="21"/>
                <w:szCs w:val="21"/>
                <w:lang w:val="en-US" w:eastAsia="zh-CN"/>
              </w:rPr>
              <w:t>m</w:t>
            </w:r>
            <w:r>
              <w:rPr>
                <w:rFonts w:hint="eastAsia" w:ascii="楷体_GB2312" w:hAnsi="楷体_GB2312" w:eastAsia="楷体_GB2312" w:cs="楷体_GB2312"/>
                <w:color w:val="auto"/>
                <w:sz w:val="21"/>
                <w:szCs w:val="21"/>
                <w:vertAlign w:val="superscript"/>
                <w:lang w:val="en-US" w:eastAsia="zh-CN"/>
              </w:rPr>
              <w:t>3</w:t>
            </w:r>
            <w:r>
              <w:rPr>
                <w:rFonts w:hint="eastAsia" w:ascii="楷体_GB2312" w:hAnsi="楷体_GB2312" w:eastAsia="楷体_GB2312" w:cs="楷体_GB2312"/>
                <w:color w:val="auto"/>
                <w:sz w:val="21"/>
                <w:szCs w:val="21"/>
                <w:lang w:eastAsia="zh-CN"/>
              </w:rPr>
              <w:t>）</w:t>
            </w:r>
          </w:p>
        </w:tc>
        <w:tc>
          <w:tcPr>
            <w:tcW w:w="2886"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配制（名称、浓度、用量）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82"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滑溜水</w:t>
            </w:r>
          </w:p>
        </w:tc>
        <w:tc>
          <w:tcPr>
            <w:tcW w:w="113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4950</w:t>
            </w:r>
            <w:r>
              <w:rPr>
                <w:rFonts w:hint="eastAsia" w:ascii="楷体_GB2312" w:hAnsi="楷体_GB2312" w:eastAsia="楷体_GB2312" w:cs="楷体_GB2312"/>
                <w:color w:val="auto"/>
                <w:sz w:val="24"/>
                <w:szCs w:val="24"/>
                <w:lang w:val="en-US" w:eastAsia="zh-CN"/>
              </w:rPr>
              <w:t>m</w:t>
            </w:r>
            <w:r>
              <w:rPr>
                <w:rFonts w:hint="eastAsia" w:ascii="楷体_GB2312" w:hAnsi="楷体_GB2312" w:eastAsia="楷体_GB2312" w:cs="楷体_GB2312"/>
                <w:color w:val="auto"/>
                <w:sz w:val="24"/>
                <w:szCs w:val="24"/>
                <w:vertAlign w:val="superscript"/>
                <w:lang w:val="en-US" w:eastAsia="zh-CN"/>
              </w:rPr>
              <w:t>3</w:t>
            </w:r>
            <w:r>
              <w:rPr>
                <w:rFonts w:hint="eastAsia" w:ascii="楷体_GB2312" w:hAnsi="楷体_GB2312" w:eastAsia="楷体_GB2312" w:cs="楷体_GB2312"/>
                <w:color w:val="auto"/>
                <w:sz w:val="21"/>
                <w:szCs w:val="21"/>
              </w:rPr>
              <w:t>（共计）</w:t>
            </w:r>
          </w:p>
        </w:tc>
        <w:tc>
          <w:tcPr>
            <w:tcW w:w="2886"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0.15%降阻剂+0.3%助排剂+0.3%粘土稳定剂+0.1%杀菌剂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82"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降阻剂</w:t>
            </w:r>
          </w:p>
        </w:tc>
        <w:tc>
          <w:tcPr>
            <w:tcW w:w="113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0.3%</w:t>
            </w:r>
          </w:p>
        </w:tc>
        <w:tc>
          <w:tcPr>
            <w:tcW w:w="2886"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KCl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82"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化工料</w:t>
            </w:r>
          </w:p>
        </w:tc>
        <w:tc>
          <w:tcPr>
            <w:tcW w:w="113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用量（%）</w:t>
            </w:r>
          </w:p>
        </w:tc>
        <w:tc>
          <w:tcPr>
            <w:tcW w:w="2886"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default"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所需化工料（kg）</w:t>
            </w:r>
          </w:p>
        </w:tc>
      </w:tr>
    </w:tbl>
    <w:p>
      <w:pPr>
        <w:pStyle w:val="23"/>
        <w:keepNext w:val="0"/>
        <w:keepLines w:val="0"/>
        <w:pageBreakBefore w:val="0"/>
        <w:widowControl w:val="0"/>
        <w:kinsoku/>
        <w:wordWrap/>
        <w:overflowPunct/>
        <w:topLinePunct w:val="0"/>
        <w:autoSpaceDE/>
        <w:autoSpaceDN/>
        <w:bidi w:val="0"/>
        <w:adjustRightInd/>
        <w:snapToGrid/>
        <w:spacing w:after="0" w:line="600" w:lineRule="exact"/>
        <w:ind w:firstLine="480" w:firstLineChars="200"/>
        <w:textAlignment w:val="auto"/>
        <w:rPr>
          <w:rFonts w:hint="eastAsia" w:ascii="宋体" w:hAnsi="宋体" w:cs="宋体"/>
          <w:color w:val="auto"/>
          <w:kern w:val="2"/>
          <w:sz w:val="24"/>
          <w:szCs w:val="24"/>
          <w:lang w:val="en-US" w:eastAsia="zh-CN" w:bidi="ar-SA"/>
        </w:rPr>
      </w:pPr>
      <w:r>
        <w:rPr>
          <w:rFonts w:hint="eastAsia" w:ascii="宋体" w:hAnsi="宋体" w:cs="宋体"/>
          <w:color w:val="auto"/>
          <w:kern w:val="2"/>
          <w:sz w:val="24"/>
          <w:szCs w:val="24"/>
          <w:lang w:val="en-US" w:eastAsia="zh-CN" w:bidi="ar-SA"/>
        </w:rPr>
        <w:t>二、压裂施工设备见表2-8-2。</w:t>
      </w:r>
    </w:p>
    <w:p>
      <w:pPr>
        <w:pStyle w:val="57"/>
        <w:bidi w:val="0"/>
        <w:ind w:left="0" w:leftChars="0" w:firstLine="0" w:firstLineChars="0"/>
        <w:jc w:val="both"/>
        <w:rPr>
          <w:rFonts w:hint="eastAsia" w:ascii="楷体_GB2312" w:hAnsi="楷体_GB2312" w:eastAsia="楷体_GB2312" w:cs="楷体_GB2312"/>
          <w:color w:val="auto"/>
          <w:lang w:val="zh-CN" w:eastAsia="zh-CN"/>
        </w:rPr>
      </w:pPr>
      <w:r>
        <w:rPr>
          <w:rFonts w:hint="eastAsia" w:ascii="楷体_GB2312" w:hAnsi="楷体_GB2312" w:eastAsia="楷体_GB2312" w:cs="楷体_GB2312"/>
          <w:color w:val="auto"/>
          <w:lang w:val="zh-CN" w:eastAsia="zh-CN"/>
        </w:rPr>
        <w:t>表</w:t>
      </w:r>
      <w:r>
        <w:rPr>
          <w:rFonts w:hint="eastAsia" w:ascii="楷体_GB2312" w:hAnsi="楷体_GB2312" w:eastAsia="楷体_GB2312" w:cs="楷体_GB2312"/>
          <w:color w:val="auto"/>
          <w:lang w:val="en-US" w:eastAsia="zh-CN"/>
        </w:rPr>
        <w:t>2-8-2</w:t>
      </w:r>
      <w:r>
        <w:rPr>
          <w:rFonts w:hint="eastAsia" w:ascii="楷体_GB2312" w:hAnsi="楷体_GB2312" w:eastAsia="楷体_GB2312" w:cs="楷体_GB2312"/>
          <w:color w:val="auto"/>
          <w:lang w:val="zh-CN" w:eastAsia="zh-CN"/>
        </w:rPr>
        <w:t xml:space="preserve"> </w:t>
      </w: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lang w:val="zh-CN" w:eastAsia="zh-CN"/>
        </w:rPr>
        <w:t xml:space="preserve"> 施工设备</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8"/>
        <w:gridCol w:w="1598"/>
        <w:gridCol w:w="2859"/>
        <w:gridCol w:w="1133"/>
        <w:gridCol w:w="11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序号</w:t>
            </w:r>
          </w:p>
        </w:tc>
        <w:tc>
          <w:tcPr>
            <w:tcW w:w="86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名  称</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规 格 型 号</w:t>
            </w:r>
          </w:p>
        </w:tc>
        <w:tc>
          <w:tcPr>
            <w:tcW w:w="61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单位</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tcBorders>
              <w:bottom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c>
          <w:tcPr>
            <w:tcW w:w="86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压裂车</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2500型</w:t>
            </w:r>
          </w:p>
        </w:tc>
        <w:tc>
          <w:tcPr>
            <w:tcW w:w="610" w:type="pct"/>
            <w:tcBorders>
              <w:bottom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台</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w:t>
            </w:r>
          </w:p>
        </w:tc>
        <w:tc>
          <w:tcPr>
            <w:tcW w:w="860" w:type="pct"/>
            <w:tcBorders>
              <w:lef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混砂车</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p>
        </w:tc>
        <w:tc>
          <w:tcPr>
            <w:tcW w:w="61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台</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3</w:t>
            </w:r>
          </w:p>
        </w:tc>
        <w:tc>
          <w:tcPr>
            <w:tcW w:w="86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管汇车</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p>
        </w:tc>
        <w:tc>
          <w:tcPr>
            <w:tcW w:w="610" w:type="pct"/>
            <w:tcBorders>
              <w:bottom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台</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4</w:t>
            </w:r>
          </w:p>
        </w:tc>
        <w:tc>
          <w:tcPr>
            <w:tcW w:w="86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砂罐车</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p>
        </w:tc>
        <w:tc>
          <w:tcPr>
            <w:tcW w:w="61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台</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w:t>
            </w:r>
          </w:p>
        </w:tc>
        <w:tc>
          <w:tcPr>
            <w:tcW w:w="86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仪表车</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p>
        </w:tc>
        <w:tc>
          <w:tcPr>
            <w:tcW w:w="61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台</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6</w:t>
            </w:r>
          </w:p>
        </w:tc>
        <w:tc>
          <w:tcPr>
            <w:tcW w:w="86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随车吊</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p>
        </w:tc>
        <w:tc>
          <w:tcPr>
            <w:tcW w:w="61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台</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77"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7</w:t>
            </w:r>
          </w:p>
        </w:tc>
        <w:tc>
          <w:tcPr>
            <w:tcW w:w="86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井场储液罐</w:t>
            </w:r>
          </w:p>
        </w:tc>
        <w:tc>
          <w:tcPr>
            <w:tcW w:w="1539"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rPr>
              <w:t>50m</w:t>
            </w:r>
            <w:r>
              <w:rPr>
                <w:rFonts w:hint="eastAsia" w:ascii="楷体_GB2312" w:hAnsi="楷体_GB2312" w:eastAsia="楷体_GB2312" w:cs="楷体_GB2312"/>
                <w:color w:val="auto"/>
                <w:sz w:val="21"/>
                <w:szCs w:val="21"/>
                <w:vertAlign w:val="superscript"/>
                <w:lang w:val="en-US" w:eastAsia="zh-CN"/>
              </w:rPr>
              <w:t>3</w:t>
            </w:r>
          </w:p>
        </w:tc>
        <w:tc>
          <w:tcPr>
            <w:tcW w:w="610"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套</w:t>
            </w:r>
          </w:p>
        </w:tc>
        <w:tc>
          <w:tcPr>
            <w:tcW w:w="611" w:type="pct"/>
            <w:vAlign w:val="center"/>
          </w:tcPr>
          <w:p>
            <w:pPr>
              <w:keepNext w:val="0"/>
              <w:keepLines w:val="0"/>
              <w:pageBreakBefore w:val="0"/>
              <w:widowControl w:val="0"/>
              <w:kinsoku/>
              <w:wordWrap/>
              <w:overflowPunct/>
              <w:topLinePunct w:val="0"/>
              <w:autoSpaceDE w:val="0"/>
              <w:autoSpaceDN w:val="0"/>
              <w:bidi w:val="0"/>
              <w:adjustRightInd/>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20</w:t>
            </w:r>
          </w:p>
        </w:tc>
      </w:tr>
    </w:tbl>
    <w:p>
      <w:pPr>
        <w:pStyle w:val="23"/>
        <w:keepNext w:val="0"/>
        <w:keepLines w:val="0"/>
        <w:pageBreakBefore w:val="0"/>
        <w:widowControl w:val="0"/>
        <w:kinsoku/>
        <w:wordWrap/>
        <w:overflowPunct/>
        <w:topLinePunct w:val="0"/>
        <w:autoSpaceDE/>
        <w:autoSpaceDN/>
        <w:bidi w:val="0"/>
        <w:adjustRightInd/>
        <w:snapToGrid/>
        <w:spacing w:after="0" w:line="600" w:lineRule="exact"/>
        <w:ind w:firstLine="480" w:firstLineChars="200"/>
        <w:textAlignment w:val="auto"/>
        <w:rPr>
          <w:rFonts w:hint="default" w:ascii="宋体" w:hAnsi="宋体" w:eastAsia="宋体" w:cs="宋体"/>
          <w:color w:val="auto"/>
          <w:kern w:val="2"/>
          <w:sz w:val="24"/>
          <w:szCs w:val="24"/>
          <w:lang w:val="en-US" w:eastAsia="zh-CN" w:bidi="ar-SA"/>
        </w:rPr>
      </w:pPr>
      <w:r>
        <w:rPr>
          <w:rFonts w:hint="eastAsia" w:ascii="宋体" w:hAnsi="宋体" w:cs="宋体"/>
          <w:color w:val="auto"/>
          <w:kern w:val="2"/>
          <w:sz w:val="24"/>
          <w:szCs w:val="24"/>
          <w:lang w:val="en-US" w:eastAsia="zh-CN" w:bidi="ar-SA"/>
        </w:rPr>
        <w:t>三</w:t>
      </w:r>
      <w:r>
        <w:rPr>
          <w:rFonts w:hint="eastAsia" w:ascii="宋体" w:hAnsi="宋体" w:eastAsia="宋体" w:cs="宋体"/>
          <w:color w:val="auto"/>
          <w:kern w:val="2"/>
          <w:sz w:val="24"/>
          <w:szCs w:val="24"/>
          <w:lang w:val="en-US" w:eastAsia="zh-CN" w:bidi="ar-SA"/>
        </w:rPr>
        <w:t>、</w:t>
      </w:r>
      <w:r>
        <w:rPr>
          <w:rFonts w:hint="eastAsia" w:ascii="宋体" w:hAnsi="宋体" w:cs="宋体"/>
          <w:color w:val="auto"/>
          <w:kern w:val="2"/>
          <w:sz w:val="24"/>
          <w:szCs w:val="24"/>
          <w:lang w:val="en-US" w:eastAsia="zh-CN" w:bidi="ar-SA"/>
        </w:rPr>
        <w:t>井下耗材</w:t>
      </w:r>
      <w:r>
        <w:rPr>
          <w:rFonts w:hint="eastAsia" w:ascii="宋体" w:hAnsi="宋体" w:eastAsia="宋体" w:cs="宋体"/>
          <w:color w:val="auto"/>
          <w:kern w:val="2"/>
          <w:sz w:val="24"/>
          <w:szCs w:val="24"/>
          <w:lang w:val="en-US" w:eastAsia="zh-CN" w:bidi="ar-SA"/>
        </w:rPr>
        <w:t>见表2-8-</w:t>
      </w:r>
      <w:r>
        <w:rPr>
          <w:rFonts w:hint="eastAsia" w:ascii="宋体" w:hAnsi="宋体" w:cs="宋体"/>
          <w:color w:val="auto"/>
          <w:kern w:val="2"/>
          <w:sz w:val="24"/>
          <w:szCs w:val="24"/>
          <w:lang w:val="en-US" w:eastAsia="zh-CN" w:bidi="ar-SA"/>
        </w:rPr>
        <w:t>3。</w:t>
      </w:r>
    </w:p>
    <w:p>
      <w:pPr>
        <w:pStyle w:val="58"/>
        <w:jc w:val="both"/>
        <w:rPr>
          <w:rFonts w:hint="eastAsia" w:ascii="楷体_GB2312" w:hAnsi="楷体_GB2312" w:eastAsia="楷体_GB2312" w:cs="楷体_GB2312"/>
          <w:color w:val="auto"/>
          <w:kern w:val="2"/>
          <w:sz w:val="24"/>
          <w:szCs w:val="24"/>
          <w:lang w:val="en-US" w:eastAsia="zh-CN" w:bidi="ar-SA"/>
        </w:rPr>
      </w:pPr>
      <w:r>
        <w:rPr>
          <w:rFonts w:hint="eastAsia" w:ascii="楷体_GB2312" w:hAnsi="楷体_GB2312" w:eastAsia="楷体_GB2312" w:cs="楷体_GB2312"/>
          <w:color w:val="auto"/>
          <w:kern w:val="2"/>
          <w:sz w:val="24"/>
          <w:szCs w:val="24"/>
          <w:lang w:val="zh-CN" w:eastAsia="zh-CN" w:bidi="ar-SA"/>
        </w:rPr>
        <w:t>表</w:t>
      </w:r>
      <w:r>
        <w:rPr>
          <w:rFonts w:hint="eastAsia" w:ascii="楷体_GB2312" w:hAnsi="楷体_GB2312" w:eastAsia="楷体_GB2312" w:cs="楷体_GB2312"/>
          <w:color w:val="auto"/>
          <w:kern w:val="2"/>
          <w:sz w:val="24"/>
          <w:szCs w:val="24"/>
          <w:lang w:val="en-US" w:eastAsia="zh-CN" w:bidi="ar-SA"/>
        </w:rPr>
        <w:t>2-8-3</w:t>
      </w:r>
      <w:r>
        <w:rPr>
          <w:rFonts w:hint="eastAsia" w:ascii="楷体_GB2312" w:hAnsi="楷体_GB2312" w:eastAsia="楷体_GB2312" w:cs="楷体_GB2312"/>
          <w:color w:val="auto"/>
          <w:kern w:val="2"/>
          <w:sz w:val="24"/>
          <w:szCs w:val="24"/>
          <w:lang w:val="zh-CN" w:eastAsia="zh-CN" w:bidi="ar-SA"/>
        </w:rPr>
        <w:t xml:space="preserve"> </w:t>
      </w:r>
      <w:r>
        <w:rPr>
          <w:rFonts w:hint="eastAsia" w:ascii="楷体_GB2312" w:hAnsi="楷体_GB2312" w:eastAsia="楷体_GB2312" w:cs="楷体_GB2312"/>
          <w:color w:val="auto"/>
          <w:kern w:val="2"/>
          <w:sz w:val="24"/>
          <w:szCs w:val="24"/>
          <w:lang w:val="en-US" w:eastAsia="zh-CN" w:bidi="ar-SA"/>
        </w:rPr>
        <w:t xml:space="preserve">                        </w:t>
      </w:r>
      <w:r>
        <w:rPr>
          <w:rFonts w:hint="eastAsia" w:ascii="楷体_GB2312" w:hAnsi="楷体_GB2312" w:eastAsia="楷体_GB2312" w:cs="楷体_GB2312"/>
          <w:color w:val="auto"/>
          <w:kern w:val="2"/>
          <w:sz w:val="24"/>
          <w:szCs w:val="24"/>
          <w:lang w:val="zh-CN" w:eastAsia="zh-CN" w:bidi="ar-SA"/>
        </w:rPr>
        <w:t>主要井下耗材</w:t>
      </w:r>
    </w:p>
    <w:tbl>
      <w:tblPr>
        <w:tblStyle w:val="25"/>
        <w:tblW w:w="4998" w:type="pct"/>
        <w:jc w:val="center"/>
        <w:tblLayout w:type="autofit"/>
        <w:tblCellMar>
          <w:top w:w="0" w:type="dxa"/>
          <w:left w:w="108" w:type="dxa"/>
          <w:bottom w:w="0" w:type="dxa"/>
          <w:right w:w="108" w:type="dxa"/>
        </w:tblCellMar>
      </w:tblPr>
      <w:tblGrid>
        <w:gridCol w:w="1005"/>
        <w:gridCol w:w="1754"/>
        <w:gridCol w:w="2179"/>
        <w:gridCol w:w="1250"/>
        <w:gridCol w:w="1548"/>
        <w:gridCol w:w="1548"/>
      </w:tblGrid>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序号</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名称</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型号</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数量</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性能指标</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备注</w:t>
            </w: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射孔枪</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highlight w:val="yellow"/>
              </w:rPr>
            </w:pPr>
            <w:r>
              <w:rPr>
                <w:rFonts w:hint="eastAsia" w:ascii="楷体_GB2312" w:hAnsi="楷体_GB2312" w:eastAsia="楷体_GB2312" w:cs="楷体_GB2312"/>
                <w:color w:val="auto"/>
                <w:kern w:val="0"/>
                <w:sz w:val="21"/>
                <w:szCs w:val="21"/>
              </w:rPr>
              <w:t>89-16DP-60-105</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eastAsia="zh-CN"/>
              </w:rPr>
            </w:pPr>
            <w:r>
              <w:rPr>
                <w:rFonts w:hint="eastAsia" w:ascii="楷体_GB2312" w:hAnsi="楷体_GB2312" w:eastAsia="楷体_GB2312" w:cs="楷体_GB2312"/>
                <w:color w:val="auto"/>
                <w:kern w:val="0"/>
                <w:sz w:val="21"/>
                <w:szCs w:val="21"/>
              </w:rPr>
              <w:t>35</w:t>
            </w:r>
            <w:r>
              <w:rPr>
                <w:rFonts w:hint="eastAsia" w:ascii="楷体_GB2312" w:hAnsi="楷体_GB2312" w:eastAsia="楷体_GB2312" w:cs="楷体_GB2312"/>
                <w:color w:val="auto"/>
                <w:kern w:val="0"/>
                <w:sz w:val="21"/>
                <w:szCs w:val="21"/>
                <w:lang w:val="en-US" w:eastAsia="zh-CN"/>
              </w:rPr>
              <w:t>m</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rPr>
              <w:t>70</w:t>
            </w:r>
            <w:r>
              <w:rPr>
                <w:rFonts w:hint="eastAsia" w:ascii="楷体_GB2312" w:hAnsi="楷体_GB2312" w:eastAsia="楷体_GB2312" w:cs="楷体_GB2312"/>
                <w:color w:val="auto"/>
                <w:kern w:val="0"/>
                <w:sz w:val="21"/>
                <w:szCs w:val="21"/>
                <w:lang w:val="zh-CN"/>
              </w:rPr>
              <w:t>MPa</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highlight w:val="yellow"/>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2</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射孔弹</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highlight w:val="yellow"/>
              </w:rPr>
            </w:pPr>
            <w:r>
              <w:rPr>
                <w:rFonts w:hint="eastAsia" w:ascii="楷体_GB2312" w:hAnsi="楷体_GB2312" w:eastAsia="楷体_GB2312" w:cs="楷体_GB2312"/>
                <w:color w:val="auto"/>
                <w:kern w:val="0"/>
                <w:sz w:val="21"/>
                <w:szCs w:val="21"/>
              </w:rPr>
              <w:t>SDP41RDX25-2</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420</w:t>
            </w:r>
            <w:r>
              <w:rPr>
                <w:rFonts w:hint="eastAsia" w:ascii="楷体_GB2312" w:hAnsi="楷体_GB2312" w:eastAsia="楷体_GB2312" w:cs="楷体_GB2312"/>
                <w:color w:val="auto"/>
                <w:kern w:val="0"/>
                <w:sz w:val="21"/>
                <w:szCs w:val="21"/>
                <w:lang w:val="zh-CN"/>
              </w:rPr>
              <w:t>发</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lang w:val="zh-CN"/>
              </w:rPr>
              <w:t>1</w:t>
            </w:r>
            <w:r>
              <w:rPr>
                <w:rFonts w:hint="eastAsia" w:ascii="楷体_GB2312" w:hAnsi="楷体_GB2312" w:eastAsia="楷体_GB2312" w:cs="楷体_GB2312"/>
                <w:color w:val="auto"/>
                <w:kern w:val="0"/>
                <w:sz w:val="21"/>
                <w:szCs w:val="21"/>
              </w:rPr>
              <w:t>21</w:t>
            </w:r>
            <w:r>
              <w:rPr>
                <w:rFonts w:hint="eastAsia" w:ascii="楷体_GB2312" w:hAnsi="楷体_GB2312" w:eastAsia="楷体_GB2312" w:cs="楷体_GB2312"/>
                <w:color w:val="auto"/>
                <w:kern w:val="0"/>
                <w:sz w:val="21"/>
                <w:szCs w:val="21"/>
                <w:lang w:val="zh-CN"/>
              </w:rPr>
              <w:t>℃/4h</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highlight w:val="yellow"/>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3</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导爆索</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80RDX Φ</w:t>
            </w:r>
            <w:r>
              <w:rPr>
                <w:rFonts w:hint="eastAsia" w:ascii="楷体_GB2312" w:hAnsi="楷体_GB2312" w:eastAsia="楷体_GB2312" w:cs="楷体_GB2312"/>
                <w:color w:val="auto"/>
                <w:kern w:val="0"/>
                <w:sz w:val="21"/>
                <w:szCs w:val="21"/>
              </w:rPr>
              <w:t>5.3</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eastAsia="zh-CN"/>
              </w:rPr>
            </w:pPr>
            <w:r>
              <w:rPr>
                <w:rFonts w:hint="eastAsia" w:ascii="楷体_GB2312" w:hAnsi="楷体_GB2312" w:eastAsia="楷体_GB2312" w:cs="楷体_GB2312"/>
                <w:color w:val="auto"/>
                <w:kern w:val="0"/>
                <w:sz w:val="21"/>
                <w:szCs w:val="21"/>
              </w:rPr>
              <w:t>45</w:t>
            </w:r>
            <w:r>
              <w:rPr>
                <w:rFonts w:hint="eastAsia" w:ascii="楷体_GB2312" w:hAnsi="楷体_GB2312" w:eastAsia="楷体_GB2312" w:cs="楷体_GB2312"/>
                <w:color w:val="auto"/>
                <w:kern w:val="0"/>
                <w:sz w:val="21"/>
                <w:szCs w:val="21"/>
                <w:lang w:val="en-US" w:eastAsia="zh-CN"/>
              </w:rPr>
              <w:t>m</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w:t>
            </w:r>
            <w:r>
              <w:rPr>
                <w:rFonts w:hint="eastAsia" w:ascii="楷体_GB2312" w:hAnsi="楷体_GB2312" w:eastAsia="楷体_GB2312" w:cs="楷体_GB2312"/>
                <w:color w:val="auto"/>
                <w:kern w:val="0"/>
                <w:sz w:val="21"/>
                <w:szCs w:val="21"/>
              </w:rPr>
              <w:t>21</w:t>
            </w:r>
            <w:r>
              <w:rPr>
                <w:rFonts w:hint="eastAsia" w:ascii="楷体_GB2312" w:hAnsi="楷体_GB2312" w:eastAsia="楷体_GB2312" w:cs="楷体_GB2312"/>
                <w:color w:val="auto"/>
                <w:kern w:val="0"/>
                <w:sz w:val="21"/>
                <w:szCs w:val="21"/>
                <w:lang w:val="zh-CN"/>
              </w:rPr>
              <w:t>℃/4h</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eastAsia="zh-CN"/>
              </w:rPr>
            </w:pPr>
            <w:r>
              <w:rPr>
                <w:rFonts w:hint="eastAsia" w:ascii="楷体_GB2312" w:hAnsi="楷体_GB2312" w:eastAsia="楷体_GB2312" w:cs="楷体_GB2312"/>
                <w:color w:val="auto"/>
                <w:kern w:val="0"/>
                <w:sz w:val="21"/>
                <w:szCs w:val="21"/>
                <w:lang w:val="en-US" w:eastAsia="zh-CN"/>
              </w:rPr>
              <w:t>4</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en-US" w:eastAsia="zh-CN"/>
              </w:rPr>
              <w:t>电子</w:t>
            </w:r>
            <w:r>
              <w:rPr>
                <w:rFonts w:hint="eastAsia" w:ascii="楷体_GB2312" w:hAnsi="楷体_GB2312" w:eastAsia="楷体_GB2312" w:cs="楷体_GB2312"/>
                <w:color w:val="auto"/>
                <w:kern w:val="0"/>
                <w:sz w:val="21"/>
                <w:szCs w:val="21"/>
                <w:lang w:val="zh-CN"/>
              </w:rPr>
              <w:t>雷管</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rPr>
              <w:t>DET-3050-084</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rPr>
              <w:t>45发</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w:t>
            </w:r>
            <w:r>
              <w:rPr>
                <w:rFonts w:hint="eastAsia" w:ascii="楷体_GB2312" w:hAnsi="楷体_GB2312" w:eastAsia="楷体_GB2312" w:cs="楷体_GB2312"/>
                <w:color w:val="auto"/>
                <w:kern w:val="0"/>
                <w:sz w:val="21"/>
                <w:szCs w:val="21"/>
              </w:rPr>
              <w:t>75</w:t>
            </w:r>
            <w:r>
              <w:rPr>
                <w:rFonts w:hint="eastAsia" w:ascii="楷体_GB2312" w:hAnsi="楷体_GB2312" w:eastAsia="楷体_GB2312" w:cs="楷体_GB2312"/>
                <w:color w:val="auto"/>
                <w:kern w:val="0"/>
                <w:sz w:val="21"/>
                <w:szCs w:val="21"/>
                <w:lang w:val="zh-CN"/>
              </w:rPr>
              <w:t>℃</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eastAsia="zh-CN"/>
              </w:rPr>
            </w:pPr>
            <w:r>
              <w:rPr>
                <w:rFonts w:hint="eastAsia" w:ascii="楷体_GB2312" w:hAnsi="楷体_GB2312" w:eastAsia="楷体_GB2312" w:cs="楷体_GB2312"/>
                <w:color w:val="auto"/>
                <w:kern w:val="0"/>
                <w:sz w:val="21"/>
                <w:szCs w:val="21"/>
                <w:lang w:val="en-US" w:eastAsia="zh-CN"/>
              </w:rPr>
              <w:t>5</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二极管</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EBPS</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rPr>
              <w:t>45个</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w:t>
            </w:r>
            <w:r>
              <w:rPr>
                <w:rFonts w:hint="eastAsia" w:ascii="楷体_GB2312" w:hAnsi="楷体_GB2312" w:eastAsia="楷体_GB2312" w:cs="楷体_GB2312"/>
                <w:color w:val="auto"/>
                <w:kern w:val="0"/>
                <w:sz w:val="21"/>
                <w:szCs w:val="21"/>
              </w:rPr>
              <w:t>75</w:t>
            </w:r>
            <w:r>
              <w:rPr>
                <w:rFonts w:hint="eastAsia" w:ascii="楷体_GB2312" w:hAnsi="楷体_GB2312" w:eastAsia="楷体_GB2312" w:cs="楷体_GB2312"/>
                <w:color w:val="auto"/>
                <w:kern w:val="0"/>
                <w:sz w:val="21"/>
                <w:szCs w:val="21"/>
                <w:lang w:val="zh-CN"/>
              </w:rPr>
              <w:t>℃</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eastAsia="zh-CN"/>
              </w:rPr>
            </w:pPr>
            <w:r>
              <w:rPr>
                <w:rFonts w:hint="eastAsia" w:ascii="楷体_GB2312" w:hAnsi="楷体_GB2312" w:eastAsia="楷体_GB2312" w:cs="楷体_GB2312"/>
                <w:color w:val="auto"/>
                <w:kern w:val="0"/>
                <w:sz w:val="21"/>
                <w:szCs w:val="21"/>
                <w:lang w:val="en-US" w:eastAsia="zh-CN"/>
              </w:rPr>
              <w:t>6</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压力开关</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EBS-P+EBS-N</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45个</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w:t>
            </w:r>
            <w:r>
              <w:rPr>
                <w:rFonts w:hint="eastAsia" w:ascii="楷体_GB2312" w:hAnsi="楷体_GB2312" w:eastAsia="楷体_GB2312" w:cs="楷体_GB2312"/>
                <w:color w:val="auto"/>
                <w:kern w:val="0"/>
                <w:sz w:val="21"/>
                <w:szCs w:val="21"/>
              </w:rPr>
              <w:t>75</w:t>
            </w:r>
            <w:r>
              <w:rPr>
                <w:rFonts w:hint="eastAsia" w:ascii="楷体_GB2312" w:hAnsi="楷体_GB2312" w:eastAsia="楷体_GB2312" w:cs="楷体_GB2312"/>
                <w:color w:val="auto"/>
                <w:kern w:val="0"/>
                <w:sz w:val="21"/>
                <w:szCs w:val="21"/>
                <w:lang w:val="zh-CN"/>
              </w:rPr>
              <w:t>℃/</w:t>
            </w:r>
            <w:r>
              <w:rPr>
                <w:rFonts w:hint="eastAsia" w:ascii="楷体_GB2312" w:hAnsi="楷体_GB2312" w:eastAsia="楷体_GB2312" w:cs="楷体_GB2312"/>
                <w:color w:val="auto"/>
                <w:kern w:val="0"/>
                <w:sz w:val="21"/>
                <w:szCs w:val="21"/>
              </w:rPr>
              <w:t>4</w:t>
            </w:r>
            <w:r>
              <w:rPr>
                <w:rFonts w:hint="eastAsia" w:ascii="楷体_GB2312" w:hAnsi="楷体_GB2312" w:eastAsia="楷体_GB2312" w:cs="楷体_GB2312"/>
                <w:color w:val="auto"/>
                <w:kern w:val="0"/>
                <w:sz w:val="21"/>
                <w:szCs w:val="21"/>
                <w:lang w:val="zh-CN"/>
              </w:rPr>
              <w:t>h</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eastAsia="zh-CN"/>
              </w:rPr>
            </w:pPr>
            <w:r>
              <w:rPr>
                <w:rFonts w:hint="eastAsia" w:ascii="楷体_GB2312" w:hAnsi="楷体_GB2312" w:eastAsia="楷体_GB2312" w:cs="楷体_GB2312"/>
                <w:color w:val="auto"/>
                <w:kern w:val="0"/>
                <w:sz w:val="21"/>
                <w:szCs w:val="21"/>
                <w:lang w:val="en-US" w:eastAsia="zh-CN"/>
              </w:rPr>
              <w:t>7</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一级火药</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sz w:val="21"/>
                <w:szCs w:val="21"/>
              </w:rPr>
              <w:t>PUR-6000-200</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11个</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175℃/</w:t>
            </w:r>
            <w:r>
              <w:rPr>
                <w:rFonts w:hint="eastAsia" w:ascii="楷体_GB2312" w:hAnsi="楷体_GB2312" w:eastAsia="楷体_GB2312" w:cs="楷体_GB2312"/>
                <w:color w:val="auto"/>
                <w:kern w:val="0"/>
                <w:sz w:val="21"/>
                <w:szCs w:val="21"/>
              </w:rPr>
              <w:t>4</w:t>
            </w:r>
            <w:r>
              <w:rPr>
                <w:rFonts w:hint="eastAsia" w:ascii="楷体_GB2312" w:hAnsi="楷体_GB2312" w:eastAsia="楷体_GB2312" w:cs="楷体_GB2312"/>
                <w:color w:val="auto"/>
                <w:kern w:val="0"/>
                <w:sz w:val="21"/>
                <w:szCs w:val="21"/>
                <w:lang w:val="zh-CN"/>
              </w:rPr>
              <w:t>h</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eastAsia="zh-CN"/>
              </w:rPr>
            </w:pPr>
            <w:r>
              <w:rPr>
                <w:rFonts w:hint="eastAsia" w:ascii="楷体_GB2312" w:hAnsi="楷体_GB2312" w:eastAsia="楷体_GB2312" w:cs="楷体_GB2312"/>
                <w:color w:val="auto"/>
                <w:kern w:val="0"/>
                <w:sz w:val="21"/>
                <w:szCs w:val="21"/>
                <w:lang w:val="en-US" w:eastAsia="zh-CN"/>
              </w:rPr>
              <w:t>8</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二级火药</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sz w:val="21"/>
                <w:szCs w:val="21"/>
              </w:rPr>
              <w:t>PUR-6000-102</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11个</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175℃/</w:t>
            </w:r>
            <w:r>
              <w:rPr>
                <w:rFonts w:hint="eastAsia" w:ascii="楷体_GB2312" w:hAnsi="楷体_GB2312" w:eastAsia="楷体_GB2312" w:cs="楷体_GB2312"/>
                <w:color w:val="auto"/>
                <w:kern w:val="0"/>
                <w:sz w:val="21"/>
                <w:szCs w:val="21"/>
              </w:rPr>
              <w:t>4</w:t>
            </w:r>
            <w:r>
              <w:rPr>
                <w:rFonts w:hint="eastAsia" w:ascii="楷体_GB2312" w:hAnsi="楷体_GB2312" w:eastAsia="楷体_GB2312" w:cs="楷体_GB2312"/>
                <w:color w:val="auto"/>
                <w:kern w:val="0"/>
                <w:sz w:val="21"/>
                <w:szCs w:val="21"/>
                <w:lang w:val="zh-CN"/>
              </w:rPr>
              <w:t>h</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eastAsia="zh-CN"/>
              </w:rPr>
            </w:pPr>
            <w:r>
              <w:rPr>
                <w:rFonts w:hint="eastAsia" w:ascii="楷体_GB2312" w:hAnsi="楷体_GB2312" w:eastAsia="楷体_GB2312" w:cs="楷体_GB2312"/>
                <w:color w:val="auto"/>
                <w:kern w:val="0"/>
                <w:sz w:val="21"/>
                <w:szCs w:val="21"/>
                <w:lang w:val="en-US" w:eastAsia="zh-CN"/>
              </w:rPr>
              <w:t>9</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三级火药</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sz w:val="21"/>
                <w:szCs w:val="21"/>
              </w:rPr>
              <w:t>PUR-6000-105</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11个</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175℃/</w:t>
            </w:r>
            <w:r>
              <w:rPr>
                <w:rFonts w:hint="eastAsia" w:ascii="楷体_GB2312" w:hAnsi="楷体_GB2312" w:eastAsia="楷体_GB2312" w:cs="楷体_GB2312"/>
                <w:color w:val="auto"/>
                <w:kern w:val="0"/>
                <w:sz w:val="21"/>
                <w:szCs w:val="21"/>
              </w:rPr>
              <w:t>4</w:t>
            </w:r>
            <w:r>
              <w:rPr>
                <w:rFonts w:hint="eastAsia" w:ascii="楷体_GB2312" w:hAnsi="楷体_GB2312" w:eastAsia="楷体_GB2312" w:cs="楷体_GB2312"/>
                <w:color w:val="auto"/>
                <w:kern w:val="0"/>
                <w:sz w:val="21"/>
                <w:szCs w:val="21"/>
                <w:lang w:val="zh-CN"/>
              </w:rPr>
              <w:t>h</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default" w:ascii="楷体_GB2312" w:hAnsi="楷体_GB2312" w:eastAsia="楷体_GB2312" w:cs="楷体_GB2312"/>
                <w:color w:val="auto"/>
                <w:kern w:val="0"/>
                <w:sz w:val="21"/>
                <w:szCs w:val="21"/>
                <w:lang w:val="en-US" w:eastAsia="zh-CN"/>
              </w:rPr>
            </w:pPr>
            <w:r>
              <w:rPr>
                <w:rFonts w:hint="eastAsia" w:ascii="楷体_GB2312" w:hAnsi="楷体_GB2312" w:eastAsia="楷体_GB2312" w:cs="楷体_GB2312"/>
                <w:color w:val="auto"/>
                <w:kern w:val="0"/>
                <w:sz w:val="21"/>
                <w:szCs w:val="21"/>
                <w:lang w:val="en-US" w:eastAsia="zh-CN"/>
              </w:rPr>
              <w:t>10</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四级火药</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PUR-6000-108</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11个</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lang w:val="zh-CN"/>
              </w:rPr>
              <w:t>175℃/</w:t>
            </w:r>
            <w:r>
              <w:rPr>
                <w:rFonts w:hint="eastAsia" w:ascii="楷体_GB2312" w:hAnsi="楷体_GB2312" w:eastAsia="楷体_GB2312" w:cs="楷体_GB2312"/>
                <w:color w:val="auto"/>
                <w:kern w:val="0"/>
                <w:sz w:val="21"/>
                <w:szCs w:val="21"/>
              </w:rPr>
              <w:t>4</w:t>
            </w:r>
            <w:r>
              <w:rPr>
                <w:rFonts w:hint="eastAsia" w:ascii="楷体_GB2312" w:hAnsi="楷体_GB2312" w:eastAsia="楷体_GB2312" w:cs="楷体_GB2312"/>
                <w:color w:val="auto"/>
                <w:kern w:val="0"/>
                <w:sz w:val="21"/>
                <w:szCs w:val="21"/>
                <w:lang w:val="zh-CN"/>
              </w:rPr>
              <w:t>h</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p>
        </w:tc>
      </w:tr>
      <w:tr>
        <w:tblPrEx>
          <w:tblCellMar>
            <w:top w:w="0" w:type="dxa"/>
            <w:left w:w="108" w:type="dxa"/>
            <w:bottom w:w="0" w:type="dxa"/>
            <w:right w:w="108" w:type="dxa"/>
          </w:tblCellMar>
        </w:tblPrEx>
        <w:trPr>
          <w:trHeight w:val="420" w:hRule="exact"/>
          <w:jc w:val="center"/>
        </w:trPr>
        <w:tc>
          <w:tcPr>
            <w:tcW w:w="541"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default" w:ascii="楷体_GB2312" w:hAnsi="楷体_GB2312" w:eastAsia="楷体_GB2312" w:cs="楷体_GB2312"/>
                <w:color w:val="auto"/>
                <w:kern w:val="0"/>
                <w:sz w:val="21"/>
                <w:szCs w:val="21"/>
                <w:lang w:val="en-US" w:eastAsia="zh-CN"/>
              </w:rPr>
            </w:pPr>
            <w:r>
              <w:rPr>
                <w:rFonts w:hint="eastAsia" w:ascii="楷体_GB2312" w:hAnsi="楷体_GB2312" w:eastAsia="楷体_GB2312" w:cs="楷体_GB2312"/>
                <w:color w:val="auto"/>
                <w:kern w:val="0"/>
                <w:sz w:val="21"/>
                <w:szCs w:val="21"/>
                <w:lang w:val="en-US" w:eastAsia="zh-CN"/>
              </w:rPr>
              <w:t>11</w:t>
            </w:r>
          </w:p>
        </w:tc>
        <w:tc>
          <w:tcPr>
            <w:tcW w:w="944"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lang w:val="zh-CN"/>
              </w:rPr>
            </w:pPr>
            <w:r>
              <w:rPr>
                <w:rFonts w:hint="eastAsia" w:ascii="楷体_GB2312" w:hAnsi="楷体_GB2312" w:eastAsia="楷体_GB2312" w:cs="楷体_GB2312"/>
                <w:color w:val="auto"/>
                <w:kern w:val="0"/>
                <w:sz w:val="21"/>
                <w:szCs w:val="21"/>
                <w:lang w:val="zh-CN"/>
              </w:rPr>
              <w:t>桥塞</w:t>
            </w:r>
          </w:p>
        </w:tc>
        <w:tc>
          <w:tcPr>
            <w:tcW w:w="11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大通径可溶球桥塞</w:t>
            </w:r>
          </w:p>
        </w:tc>
        <w:tc>
          <w:tcPr>
            <w:tcW w:w="67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1</w:t>
            </w:r>
            <w:r>
              <w:rPr>
                <w:rFonts w:hint="eastAsia" w:ascii="楷体_GB2312" w:hAnsi="楷体_GB2312" w:eastAsia="楷体_GB2312" w:cs="楷体_GB2312"/>
                <w:color w:val="auto"/>
                <w:kern w:val="0"/>
                <w:sz w:val="21"/>
                <w:szCs w:val="21"/>
                <w:lang w:val="en-US" w:eastAsia="zh-CN"/>
              </w:rPr>
              <w:t>0</w:t>
            </w:r>
            <w:r>
              <w:rPr>
                <w:rFonts w:hint="eastAsia" w:ascii="楷体_GB2312" w:hAnsi="楷体_GB2312" w:eastAsia="楷体_GB2312" w:cs="楷体_GB2312"/>
                <w:color w:val="auto"/>
                <w:kern w:val="0"/>
                <w:sz w:val="21"/>
                <w:szCs w:val="21"/>
              </w:rPr>
              <w:t>个</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耐压差70MPa</w:t>
            </w:r>
          </w:p>
        </w:tc>
        <w:tc>
          <w:tcPr>
            <w:tcW w:w="833" w:type="pct"/>
            <w:tcBorders>
              <w:top w:val="single" w:color="000000" w:sz="2" w:space="0"/>
              <w:left w:val="single" w:color="000000" w:sz="2" w:space="0"/>
              <w:bottom w:val="single" w:color="000000" w:sz="2" w:space="0"/>
              <w:right w:val="single" w:color="000000" w:sz="2" w:space="0"/>
            </w:tcBorders>
            <w:shd w:val="clear" w:color="000000" w:fill="FFFFFF"/>
            <w:vAlign w:val="center"/>
          </w:tcPr>
          <w:p>
            <w:pPr>
              <w:keepNext w:val="0"/>
              <w:keepLines w:val="0"/>
              <w:pageBreakBefore w:val="0"/>
              <w:widowControl w:val="0"/>
              <w:tabs>
                <w:tab w:val="left" w:leader="dot" w:pos="420"/>
              </w:tabs>
              <w:kinsoku/>
              <w:wordWrap/>
              <w:overflowPunct/>
              <w:topLinePunct w:val="0"/>
              <w:autoSpaceDE w:val="0"/>
              <w:autoSpaceDN w:val="0"/>
              <w:bidi w:val="0"/>
              <w:adjustRightInd w:val="0"/>
              <w:snapToGrid/>
              <w:spacing w:line="360" w:lineRule="exact"/>
              <w:ind w:firstLine="0" w:firstLineChars="0"/>
              <w:jc w:val="center"/>
              <w:textAlignment w:val="auto"/>
              <w:rPr>
                <w:rFonts w:hint="eastAsia" w:ascii="楷体_GB2312" w:hAnsi="楷体_GB2312" w:eastAsia="楷体_GB2312" w:cs="楷体_GB2312"/>
                <w:color w:val="auto"/>
                <w:kern w:val="0"/>
                <w:sz w:val="21"/>
                <w:szCs w:val="21"/>
              </w:rPr>
            </w:pPr>
            <w:r>
              <w:rPr>
                <w:rFonts w:hint="eastAsia" w:ascii="楷体_GB2312" w:hAnsi="楷体_GB2312" w:eastAsia="楷体_GB2312" w:cs="楷体_GB2312"/>
                <w:color w:val="auto"/>
                <w:kern w:val="0"/>
                <w:sz w:val="21"/>
                <w:szCs w:val="21"/>
              </w:rPr>
              <w:t>2套Baker20</w:t>
            </w:r>
          </w:p>
        </w:tc>
      </w:tr>
    </w:tbl>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75" w:name="_Toc5048"/>
      <w:r>
        <w:rPr>
          <w:rFonts w:hint="eastAsia" w:ascii="黑体" w:hAnsi="黑体" w:eastAsia="黑体" w:cs="黑体"/>
          <w:b/>
          <w:bCs/>
          <w:color w:val="auto"/>
          <w:sz w:val="28"/>
          <w:szCs w:val="28"/>
          <w:lang w:val="en-US" w:eastAsia="zh-CN"/>
        </w:rPr>
        <w:t>第九节  地面压裂井完井施工设计</w:t>
      </w:r>
      <w:bookmarkEnd w:id="175"/>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地面压裂井完井施工要求如下：</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1.施工结束后，</w:t>
      </w:r>
      <w:r>
        <w:rPr>
          <w:rFonts w:hint="eastAsia" w:ascii="宋体" w:hAnsi="宋体" w:eastAsia="宋体" w:cs="宋体"/>
          <w:color w:val="auto"/>
          <w:sz w:val="24"/>
          <w:szCs w:val="24"/>
          <w:lang w:val="en-US" w:eastAsia="zh-CN"/>
        </w:rPr>
        <w:t>使用水泥砂浆等安全材料对地面直井上半井段施行不低于150m的灌填，并在井口安设铁盘封盖；</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2.</w:t>
      </w:r>
      <w:r>
        <w:rPr>
          <w:rFonts w:hint="eastAsia" w:ascii="宋体" w:hAnsi="宋体" w:eastAsia="宋体" w:cs="宋体"/>
          <w:color w:val="auto"/>
          <w:sz w:val="24"/>
          <w:szCs w:val="24"/>
          <w:lang w:val="en-US" w:eastAsia="zh-CN"/>
        </w:rPr>
        <w:t>钻井灌填周围有地面水影响的，应当设置排水沟；</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3.</w:t>
      </w:r>
      <w:r>
        <w:rPr>
          <w:rFonts w:hint="eastAsia" w:ascii="宋体" w:hAnsi="宋体" w:eastAsia="宋体" w:cs="宋体"/>
          <w:color w:val="auto"/>
          <w:sz w:val="24"/>
          <w:szCs w:val="24"/>
          <w:lang w:val="en-US" w:eastAsia="zh-CN"/>
        </w:rPr>
        <w:t>在钻井井口位置做永久标示，注明井号，围栏圈闭保护。</w:t>
      </w: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76" w:name="_Toc30828"/>
      <w:r>
        <w:rPr>
          <w:rFonts w:hint="eastAsia" w:ascii="黑体" w:hAnsi="黑体" w:eastAsia="黑体" w:cs="黑体"/>
          <w:b/>
          <w:bCs/>
          <w:color w:val="auto"/>
          <w:sz w:val="28"/>
          <w:szCs w:val="28"/>
          <w:lang w:val="en-US" w:eastAsia="zh-CN"/>
        </w:rPr>
        <w:t>第十节  施工验收</w:t>
      </w:r>
      <w:bookmarkEnd w:id="176"/>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lang w:val="zh-CN" w:eastAsia="zh-CN"/>
        </w:rPr>
        <w:t>钻</w:t>
      </w:r>
      <w:r>
        <w:rPr>
          <w:rFonts w:hint="eastAsia" w:ascii="宋体" w:hAnsi="宋体" w:eastAsia="宋体" w:cs="宋体"/>
          <w:color w:val="auto"/>
          <w:sz w:val="24"/>
          <w:szCs w:val="24"/>
          <w:lang w:val="en-US" w:eastAsia="zh-CN"/>
        </w:rPr>
        <w:t>井</w:t>
      </w:r>
      <w:r>
        <w:rPr>
          <w:rFonts w:hint="eastAsia" w:ascii="宋体" w:hAnsi="宋体" w:eastAsia="宋体" w:cs="宋体"/>
          <w:color w:val="auto"/>
          <w:sz w:val="24"/>
          <w:szCs w:val="24"/>
          <w:lang w:val="zh-CN" w:eastAsia="zh-CN"/>
        </w:rPr>
        <w:t>现场验收，在钻</w:t>
      </w:r>
      <w:r>
        <w:rPr>
          <w:rFonts w:hint="eastAsia" w:ascii="宋体" w:hAnsi="宋体" w:eastAsia="宋体" w:cs="宋体"/>
          <w:color w:val="auto"/>
          <w:sz w:val="24"/>
          <w:szCs w:val="24"/>
          <w:lang w:val="en-US" w:eastAsia="zh-CN"/>
        </w:rPr>
        <w:t>井</w:t>
      </w:r>
      <w:r>
        <w:rPr>
          <w:rFonts w:hint="eastAsia" w:ascii="宋体" w:hAnsi="宋体" w:eastAsia="宋体" w:cs="宋体"/>
          <w:color w:val="auto"/>
          <w:sz w:val="24"/>
          <w:szCs w:val="24"/>
          <w:lang w:val="zh-CN" w:eastAsia="zh-CN"/>
        </w:rPr>
        <w:t>施工过程中，组织好钻</w:t>
      </w:r>
      <w:r>
        <w:rPr>
          <w:rFonts w:hint="eastAsia" w:ascii="宋体" w:hAnsi="宋体" w:eastAsia="宋体" w:cs="宋体"/>
          <w:color w:val="auto"/>
          <w:sz w:val="24"/>
          <w:szCs w:val="24"/>
          <w:lang w:val="en-US" w:eastAsia="zh-CN"/>
        </w:rPr>
        <w:t>井</w:t>
      </w:r>
      <w:r>
        <w:rPr>
          <w:rFonts w:hint="eastAsia" w:ascii="宋体" w:hAnsi="宋体" w:eastAsia="宋体" w:cs="宋体"/>
          <w:color w:val="auto"/>
          <w:sz w:val="24"/>
          <w:szCs w:val="24"/>
          <w:lang w:val="zh-CN" w:eastAsia="zh-CN"/>
        </w:rPr>
        <w:t>的现场验收，对钻</w:t>
      </w:r>
      <w:r>
        <w:rPr>
          <w:rFonts w:hint="eastAsia" w:ascii="宋体" w:hAnsi="宋体" w:eastAsia="宋体" w:cs="宋体"/>
          <w:color w:val="auto"/>
          <w:sz w:val="24"/>
          <w:szCs w:val="24"/>
          <w:lang w:val="en-US" w:eastAsia="zh-CN"/>
        </w:rPr>
        <w:t>井</w:t>
      </w:r>
      <w:r>
        <w:rPr>
          <w:rFonts w:hint="eastAsia" w:ascii="宋体" w:hAnsi="宋体" w:eastAsia="宋体" w:cs="宋体"/>
          <w:color w:val="auto"/>
          <w:sz w:val="24"/>
          <w:szCs w:val="24"/>
          <w:lang w:val="zh-CN" w:eastAsia="zh-CN"/>
        </w:rPr>
        <w:t>的孔深、方位角、倾角、封孔、</w:t>
      </w:r>
      <w:r>
        <w:rPr>
          <w:rFonts w:hint="eastAsia" w:ascii="宋体" w:hAnsi="宋体" w:eastAsia="宋体" w:cs="宋体"/>
          <w:color w:val="auto"/>
          <w:sz w:val="24"/>
          <w:szCs w:val="24"/>
          <w:lang w:val="en-US" w:eastAsia="zh-CN"/>
        </w:rPr>
        <w:t>致裂</w:t>
      </w:r>
      <w:r>
        <w:rPr>
          <w:rFonts w:hint="eastAsia" w:ascii="宋体" w:hAnsi="宋体" w:eastAsia="宋体" w:cs="宋体"/>
          <w:color w:val="auto"/>
          <w:sz w:val="24"/>
          <w:szCs w:val="24"/>
          <w:lang w:val="zh-CN" w:eastAsia="zh-CN"/>
        </w:rPr>
        <w:t>进行验收，并做好</w:t>
      </w:r>
      <w:r>
        <w:rPr>
          <w:rFonts w:hint="eastAsia" w:ascii="宋体" w:hAnsi="宋体" w:eastAsia="宋体" w:cs="宋体"/>
          <w:color w:val="auto"/>
          <w:sz w:val="24"/>
          <w:szCs w:val="24"/>
          <w:lang w:val="en-US" w:eastAsia="zh-CN"/>
        </w:rPr>
        <w:t>现场验收</w:t>
      </w:r>
      <w:r>
        <w:rPr>
          <w:rFonts w:hint="eastAsia" w:ascii="宋体" w:hAnsi="宋体" w:eastAsia="宋体" w:cs="宋体"/>
          <w:color w:val="auto"/>
          <w:sz w:val="24"/>
          <w:szCs w:val="24"/>
          <w:lang w:val="zh-CN" w:eastAsia="zh-CN"/>
        </w:rPr>
        <w:t>记录，及时进行验收总结，签订钻</w:t>
      </w:r>
      <w:r>
        <w:rPr>
          <w:rFonts w:hint="eastAsia" w:ascii="宋体" w:hAnsi="宋体" w:eastAsia="宋体" w:cs="宋体"/>
          <w:color w:val="auto"/>
          <w:sz w:val="24"/>
          <w:szCs w:val="24"/>
          <w:lang w:val="en-US" w:eastAsia="zh-CN"/>
        </w:rPr>
        <w:t>井</w:t>
      </w:r>
      <w:r>
        <w:rPr>
          <w:rFonts w:hint="eastAsia" w:ascii="宋体" w:hAnsi="宋体" w:eastAsia="宋体" w:cs="宋体"/>
          <w:color w:val="auto"/>
          <w:sz w:val="24"/>
          <w:szCs w:val="24"/>
          <w:lang w:val="zh-CN" w:eastAsia="zh-CN"/>
        </w:rPr>
        <w:t>终</w:t>
      </w:r>
      <w:r>
        <w:rPr>
          <w:rFonts w:hint="eastAsia" w:ascii="宋体" w:hAnsi="宋体" w:eastAsia="宋体" w:cs="宋体"/>
          <w:color w:val="auto"/>
          <w:sz w:val="24"/>
          <w:szCs w:val="24"/>
          <w:lang w:val="en-US" w:eastAsia="zh-CN"/>
        </w:rPr>
        <w:t>井</w:t>
      </w:r>
      <w:r>
        <w:rPr>
          <w:rFonts w:hint="eastAsia" w:ascii="宋体" w:hAnsi="宋体" w:eastAsia="宋体" w:cs="宋体"/>
          <w:color w:val="auto"/>
          <w:sz w:val="24"/>
          <w:szCs w:val="24"/>
          <w:lang w:val="zh-CN" w:eastAsia="zh-CN"/>
        </w:rPr>
        <w:t>验收单。</w:t>
      </w:r>
      <w:r>
        <w:rPr>
          <w:rFonts w:hint="eastAsia" w:ascii="宋体" w:hAnsi="宋体" w:eastAsia="宋体" w:cs="宋体"/>
          <w:color w:val="auto"/>
          <w:sz w:val="24"/>
          <w:szCs w:val="24"/>
          <w:lang w:val="en-US" w:eastAsia="zh-CN"/>
        </w:rPr>
        <w:t>并对钻孔进行挂牌管理，牌上必须出现钻孔号、倾角、方位角、致裂次数、时间、压力参数等。</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2.水力压裂施工后，废料须集中回收，妥善处理。可能造成土壤污染的情况，应采取防渗措施，确保不污染环境。</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3.水力压裂施工后，将压裂施工进行总结上报相关部门。</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4.水力压裂施工后，对作业场地进行平整、复原，落地材料进行回收。</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5.压裂液及其返排液应回收处理，严禁造成污染。</w:t>
      </w:r>
    </w:p>
    <w:p>
      <w:pPr>
        <w:keepNext w:val="0"/>
        <w:keepLines w:val="0"/>
        <w:pageBreakBefore w:val="0"/>
        <w:widowControl w:val="0"/>
        <w:kinsoku/>
        <w:wordWrap/>
        <w:overflowPunct/>
        <w:topLinePunct w:val="0"/>
        <w:autoSpaceDE/>
        <w:autoSpaceDN/>
        <w:bidi w:val="0"/>
        <w:adjustRightInd/>
        <w:snapToGrid/>
        <w:spacing w:before="313" w:beforeLines="100" w:after="313" w:afterLines="100" w:line="560" w:lineRule="exact"/>
        <w:ind w:firstLine="0"/>
        <w:jc w:val="center"/>
        <w:textAlignment w:val="auto"/>
        <w:outlineLvl w:val="1"/>
        <w:rPr>
          <w:rFonts w:hint="default" w:ascii="黑体" w:hAnsi="黑体" w:eastAsia="黑体" w:cs="黑体"/>
          <w:b/>
          <w:bCs/>
          <w:color w:val="auto"/>
          <w:sz w:val="28"/>
          <w:szCs w:val="28"/>
          <w:lang w:val="en-US" w:eastAsia="zh-CN"/>
        </w:rPr>
      </w:pPr>
      <w:bookmarkStart w:id="177" w:name="_Toc17286"/>
      <w:r>
        <w:rPr>
          <w:rFonts w:hint="eastAsia" w:ascii="黑体" w:hAnsi="黑体" w:eastAsia="黑体" w:cs="黑体"/>
          <w:b/>
          <w:bCs/>
          <w:color w:val="auto"/>
          <w:sz w:val="28"/>
          <w:szCs w:val="28"/>
          <w:lang w:val="en-US" w:eastAsia="zh-CN"/>
        </w:rPr>
        <w:t>第十一节  压裂对巷道支护影响评估</w:t>
      </w:r>
      <w:bookmarkEnd w:id="177"/>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outlineLvl w:val="9"/>
        <w:rPr>
          <w:rFonts w:hint="eastAsia" w:ascii="宋体" w:hAnsi="宋体" w:eastAsia="宋体" w:cs="宋体"/>
          <w:color w:val="auto"/>
          <w:sz w:val="24"/>
          <w:szCs w:val="24"/>
          <w:lang w:val="zh-CN" w:eastAsia="zh-CN"/>
        </w:rPr>
      </w:pPr>
      <w:r>
        <w:rPr>
          <w:rFonts w:hint="eastAsia" w:ascii="宋体" w:hAnsi="宋体" w:eastAsia="宋体" w:cs="宋体"/>
          <w:color w:val="auto"/>
          <w:sz w:val="24"/>
          <w:szCs w:val="24"/>
          <w:lang w:val="zh-CN" w:eastAsia="zh-CN"/>
        </w:rPr>
        <w:t>目前开采101工作面，下一步接替103工作面，开采水平为+1175m。为探究水平井压裂段是否会对工作面巷道围岩稳定性产生影响，选取部分压裂靶点（图</w:t>
      </w:r>
      <w:r>
        <w:rPr>
          <w:rFonts w:hint="eastAsia" w:ascii="宋体" w:hAnsi="宋体" w:cs="宋体"/>
          <w:color w:val="auto"/>
          <w:sz w:val="24"/>
          <w:szCs w:val="24"/>
          <w:lang w:val="en-US" w:eastAsia="zh-CN"/>
        </w:rPr>
        <w:t>2-11-1</w:t>
      </w:r>
      <w:r>
        <w:rPr>
          <w:rFonts w:hint="eastAsia" w:ascii="宋体" w:hAnsi="宋体" w:eastAsia="宋体" w:cs="宋体"/>
          <w:color w:val="auto"/>
          <w:sz w:val="24"/>
          <w:szCs w:val="24"/>
          <w:lang w:val="zh-CN" w:eastAsia="zh-CN"/>
        </w:rPr>
        <w:t>）进行分析。基于以往经验，工作面地面压裂裂缝扩展形态，其压裂缝网呈椭球体分布，长轴为200m以上、短轴为40</w:t>
      </w:r>
      <w:r>
        <w:rPr>
          <w:rFonts w:hint="eastAsia" w:asciiTheme="minorEastAsia" w:hAnsiTheme="minorEastAsia" w:eastAsiaTheme="minorEastAsia" w:cstheme="minorEastAsia"/>
          <w:color w:val="auto"/>
          <w:highlight w:val="none"/>
          <w:lang w:val="zh-CN"/>
        </w:rPr>
        <w:t>～</w:t>
      </w:r>
      <w:r>
        <w:rPr>
          <w:rFonts w:hint="eastAsia" w:ascii="宋体" w:hAnsi="宋体" w:eastAsia="宋体" w:cs="宋体"/>
          <w:color w:val="auto"/>
          <w:sz w:val="24"/>
          <w:szCs w:val="24"/>
          <w:lang w:val="zh-CN" w:eastAsia="zh-CN"/>
        </w:rPr>
        <w:t>50m左右，根据压裂设计及预期缝网扩展形态，由图</w:t>
      </w:r>
      <w:r>
        <w:rPr>
          <w:rFonts w:hint="eastAsia" w:ascii="宋体" w:hAnsi="宋体" w:cs="宋体"/>
          <w:color w:val="auto"/>
          <w:sz w:val="24"/>
          <w:szCs w:val="24"/>
          <w:lang w:val="en-US" w:eastAsia="zh-CN"/>
        </w:rPr>
        <w:t>2-11-1</w:t>
      </w:r>
      <w:r>
        <w:rPr>
          <w:rFonts w:hint="eastAsia" w:ascii="宋体" w:hAnsi="宋体" w:eastAsia="宋体" w:cs="宋体"/>
          <w:color w:val="auto"/>
          <w:sz w:val="24"/>
          <w:szCs w:val="24"/>
          <w:lang w:val="zh-CN" w:eastAsia="zh-CN"/>
        </w:rPr>
        <w:t>可知，裂缝底界面距103顶板巷法向距离约为35</w:t>
      </w:r>
      <w:r>
        <w:rPr>
          <w:rFonts w:hint="eastAsia" w:asciiTheme="minorEastAsia" w:hAnsiTheme="minorEastAsia" w:eastAsiaTheme="minorEastAsia" w:cstheme="minorEastAsia"/>
          <w:color w:val="auto"/>
          <w:highlight w:val="none"/>
          <w:lang w:val="zh-CN"/>
        </w:rPr>
        <w:t>～</w:t>
      </w:r>
      <w:r>
        <w:rPr>
          <w:rFonts w:hint="eastAsia" w:ascii="宋体" w:hAnsi="宋体" w:eastAsia="宋体" w:cs="宋体"/>
          <w:color w:val="auto"/>
          <w:sz w:val="24"/>
          <w:szCs w:val="24"/>
          <w:lang w:val="zh-CN" w:eastAsia="zh-CN"/>
        </w:rPr>
        <w:t>40m，距离101顶板巷约为40</w:t>
      </w:r>
      <w:r>
        <w:rPr>
          <w:rFonts w:hint="eastAsia" w:asciiTheme="minorEastAsia" w:hAnsiTheme="minorEastAsia" w:eastAsiaTheme="minorEastAsia" w:cstheme="minorEastAsia"/>
          <w:color w:val="auto"/>
          <w:highlight w:val="none"/>
          <w:lang w:val="zh-CN"/>
        </w:rPr>
        <w:t>～</w:t>
      </w:r>
      <w:r>
        <w:rPr>
          <w:rFonts w:hint="eastAsia" w:ascii="宋体" w:hAnsi="宋体" w:eastAsia="宋体" w:cs="宋体"/>
          <w:color w:val="auto"/>
          <w:sz w:val="24"/>
          <w:szCs w:val="24"/>
          <w:lang w:val="zh-CN" w:eastAsia="zh-CN"/>
        </w:rPr>
        <w:t>70m，均未波及巷道围岩支护体，对顶板巷</w:t>
      </w:r>
      <w:r>
        <w:rPr>
          <w:rFonts w:hint="eastAsia" w:ascii="宋体" w:hAnsi="宋体" w:cs="宋体"/>
          <w:color w:val="auto"/>
          <w:sz w:val="24"/>
          <w:szCs w:val="24"/>
          <w:lang w:val="en-US" w:eastAsia="zh-CN"/>
        </w:rPr>
        <w:t>道</w:t>
      </w:r>
      <w:r>
        <w:rPr>
          <w:rFonts w:hint="eastAsia" w:ascii="宋体" w:hAnsi="宋体" w:eastAsia="宋体" w:cs="宋体"/>
          <w:color w:val="auto"/>
          <w:sz w:val="24"/>
          <w:szCs w:val="24"/>
          <w:lang w:val="zh-CN" w:eastAsia="zh-CN"/>
        </w:rPr>
        <w:t>几乎无影响。压裂裂缝对101和103工作面底板巷</w:t>
      </w:r>
      <w:r>
        <w:rPr>
          <w:rFonts w:hint="eastAsia" w:ascii="宋体" w:hAnsi="宋体" w:cs="宋体"/>
          <w:color w:val="auto"/>
          <w:sz w:val="24"/>
          <w:szCs w:val="24"/>
          <w:lang w:val="en-US" w:eastAsia="zh-CN"/>
        </w:rPr>
        <w:t>道</w:t>
      </w:r>
      <w:r>
        <w:rPr>
          <w:rFonts w:hint="eastAsia" w:ascii="宋体" w:hAnsi="宋体" w:eastAsia="宋体" w:cs="宋体"/>
          <w:color w:val="auto"/>
          <w:sz w:val="24"/>
          <w:szCs w:val="24"/>
          <w:lang w:val="zh-CN" w:eastAsia="zh-CN"/>
        </w:rPr>
        <w:t>距离远亦无影响。因此在现有压裂设计条件下，预期缝网对101和103工作面巷道稳定性影响小，需要注意的是，在压裂过程中井下巷道及工作面等采场范围人员需要撤出。</w:t>
      </w:r>
    </w:p>
    <w:p>
      <w:pPr>
        <w:jc w:val="center"/>
        <w:rPr>
          <w:color w:val="auto"/>
          <w:sz w:val="24"/>
          <w:szCs w:val="24"/>
        </w:rPr>
      </w:pPr>
      <w:r>
        <w:rPr>
          <w:color w:val="auto"/>
        </w:rPr>
        <w:drawing>
          <wp:inline distT="0" distB="0" distL="114300" distR="114300">
            <wp:extent cx="2520950" cy="2072640"/>
            <wp:effectExtent l="0" t="0" r="12700" b="3810"/>
            <wp:docPr id="1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1"/>
                    <pic:cNvPicPr>
                      <a:picLocks noChangeAspect="1"/>
                    </pic:cNvPicPr>
                  </pic:nvPicPr>
                  <pic:blipFill>
                    <a:blip r:embed="rId127"/>
                    <a:stretch>
                      <a:fillRect/>
                    </a:stretch>
                  </pic:blipFill>
                  <pic:spPr>
                    <a:xfrm>
                      <a:off x="0" y="0"/>
                      <a:ext cx="2520950" cy="2072640"/>
                    </a:xfrm>
                    <a:prstGeom prst="rect">
                      <a:avLst/>
                    </a:prstGeom>
                    <a:noFill/>
                    <a:ln>
                      <a:noFill/>
                    </a:ln>
                  </pic:spPr>
                </pic:pic>
              </a:graphicData>
            </a:graphic>
          </wp:inline>
        </w:drawing>
      </w:r>
      <w:r>
        <w:rPr>
          <w:rFonts w:hint="eastAsia"/>
          <w:color w:val="auto"/>
        </w:rPr>
        <w:t xml:space="preserve"> </w:t>
      </w:r>
      <w:r>
        <w:rPr>
          <w:color w:val="auto"/>
        </w:rPr>
        <w:drawing>
          <wp:inline distT="0" distB="0" distL="114300" distR="114300">
            <wp:extent cx="2520950" cy="2085975"/>
            <wp:effectExtent l="0" t="0" r="12700" b="9525"/>
            <wp:docPr id="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2"/>
                    <pic:cNvPicPr>
                      <a:picLocks noChangeAspect="1"/>
                    </pic:cNvPicPr>
                  </pic:nvPicPr>
                  <pic:blipFill>
                    <a:blip r:embed="rId128"/>
                    <a:stretch>
                      <a:fillRect/>
                    </a:stretch>
                  </pic:blipFill>
                  <pic:spPr>
                    <a:xfrm>
                      <a:off x="0" y="0"/>
                      <a:ext cx="2520950" cy="2085975"/>
                    </a:xfrm>
                    <a:prstGeom prst="rect">
                      <a:avLst/>
                    </a:prstGeom>
                    <a:noFill/>
                    <a:ln>
                      <a:noFill/>
                    </a:ln>
                  </pic:spPr>
                </pic:pic>
              </a:graphicData>
            </a:graphic>
          </wp:inline>
        </w:drawing>
      </w:r>
    </w:p>
    <w:p>
      <w:pPr>
        <w:jc w:val="center"/>
        <w:rPr>
          <w:rFonts w:hint="eastAsia"/>
          <w:color w:val="auto"/>
        </w:rPr>
      </w:pPr>
      <w:r>
        <w:rPr>
          <w:color w:val="auto"/>
        </w:rPr>
        <w:drawing>
          <wp:inline distT="0" distB="0" distL="114300" distR="114300">
            <wp:extent cx="2519680" cy="2073910"/>
            <wp:effectExtent l="0" t="0" r="13970" b="2540"/>
            <wp:docPr id="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3"/>
                    <pic:cNvPicPr>
                      <a:picLocks noChangeAspect="1"/>
                    </pic:cNvPicPr>
                  </pic:nvPicPr>
                  <pic:blipFill>
                    <a:blip r:embed="rId129"/>
                    <a:stretch>
                      <a:fillRect/>
                    </a:stretch>
                  </pic:blipFill>
                  <pic:spPr>
                    <a:xfrm>
                      <a:off x="0" y="0"/>
                      <a:ext cx="2519680" cy="2073910"/>
                    </a:xfrm>
                    <a:prstGeom prst="rect">
                      <a:avLst/>
                    </a:prstGeom>
                    <a:noFill/>
                    <a:ln>
                      <a:noFill/>
                    </a:ln>
                  </pic:spPr>
                </pic:pic>
              </a:graphicData>
            </a:graphic>
          </wp:inline>
        </w:drawing>
      </w:r>
      <w:r>
        <w:rPr>
          <w:color w:val="auto"/>
        </w:rPr>
        <w:t xml:space="preserve"> </w:t>
      </w:r>
      <w:r>
        <w:rPr>
          <w:color w:val="auto"/>
        </w:rPr>
        <w:drawing>
          <wp:inline distT="0" distB="0" distL="114300" distR="114300">
            <wp:extent cx="2520315" cy="2082800"/>
            <wp:effectExtent l="0" t="0" r="13335" b="1270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pic:cNvPicPr>
                  </pic:nvPicPr>
                  <pic:blipFill>
                    <a:blip r:embed="rId130"/>
                    <a:stretch>
                      <a:fillRect/>
                    </a:stretch>
                  </pic:blipFill>
                  <pic:spPr>
                    <a:xfrm>
                      <a:off x="0" y="0"/>
                      <a:ext cx="2520315" cy="2082800"/>
                    </a:xfrm>
                    <a:prstGeom prst="rect">
                      <a:avLst/>
                    </a:prstGeom>
                    <a:noFill/>
                    <a:ln>
                      <a:noFill/>
                    </a:ln>
                  </pic:spPr>
                </pic:pic>
              </a:graphicData>
            </a:graphic>
          </wp:inline>
        </w:drawing>
      </w:r>
    </w:p>
    <w:p>
      <w:pPr>
        <w:jc w:val="center"/>
        <w:rPr>
          <w:rFonts w:hint="eastAsia" w:ascii="楷体_GB2312" w:hAnsi="楷体_GB2312" w:eastAsia="楷体_GB2312" w:cs="楷体_GB2312"/>
          <w:color w:val="auto"/>
          <w:kern w:val="2"/>
          <w:sz w:val="24"/>
          <w:szCs w:val="24"/>
          <w:lang w:val="en-US" w:eastAsia="zh-CN" w:bidi="ar-SA"/>
        </w:rPr>
      </w:pPr>
      <w:r>
        <w:rPr>
          <w:rFonts w:hint="eastAsia" w:ascii="楷体_GB2312" w:hAnsi="楷体_GB2312" w:eastAsia="楷体_GB2312" w:cs="楷体_GB2312"/>
          <w:color w:val="auto"/>
          <w:kern w:val="2"/>
          <w:sz w:val="24"/>
          <w:szCs w:val="24"/>
          <w:lang w:val="en-US" w:eastAsia="zh-CN" w:bidi="ar-SA"/>
        </w:rPr>
        <w:t>图2-11-1 地面压裂缝网与巷道的空间位置关系</w:t>
      </w:r>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宋体" w:hAnsi="宋体" w:eastAsia="宋体" w:cs="宋体"/>
          <w:b w:val="0"/>
          <w:bCs w:val="0"/>
          <w:color w:val="auto"/>
          <w:kern w:val="2"/>
          <w:sz w:val="24"/>
          <w:szCs w:val="24"/>
          <w:lang w:val="en-US" w:eastAsia="zh-CN" w:bidi="ar-SA"/>
        </w:rPr>
      </w:pPr>
    </w:p>
    <w:p>
      <w:pPr>
        <w:rPr>
          <w:rFonts w:hint="eastAsia"/>
          <w:color w:val="auto"/>
        </w:rPr>
      </w:pPr>
      <w:bookmarkStart w:id="178" w:name="_Toc10754"/>
      <w:bookmarkStart w:id="179" w:name="_Toc7076398"/>
      <w:bookmarkStart w:id="180" w:name="_Toc9614"/>
      <w:bookmarkStart w:id="181" w:name="_Toc44479975"/>
      <w:bookmarkStart w:id="182" w:name="_Toc2288"/>
      <w:bookmarkStart w:id="183" w:name="_Toc44480189"/>
      <w:bookmarkStart w:id="184" w:name="_Toc23541"/>
      <w:r>
        <w:rPr>
          <w:rFonts w:hint="eastAsia"/>
          <w:color w:val="auto"/>
        </w:rPr>
        <w:br w:type="page"/>
      </w:r>
    </w:p>
    <w:p>
      <w:pPr>
        <w:pStyle w:val="3"/>
        <w:spacing w:before="120" w:after="120" w:line="560" w:lineRule="exact"/>
        <w:ind w:firstLine="200"/>
        <w:jc w:val="center"/>
        <w:rPr>
          <w:rFonts w:hint="eastAsia" w:ascii="黑体" w:eastAsia="黑体"/>
          <w:b/>
          <w:bCs/>
          <w:color w:val="auto"/>
          <w:sz w:val="30"/>
          <w:szCs w:val="30"/>
        </w:rPr>
      </w:pPr>
      <w:bookmarkStart w:id="185" w:name="_Toc16074"/>
      <w:r>
        <w:rPr>
          <w:rFonts w:hint="eastAsia" w:ascii="黑体" w:eastAsia="黑体"/>
          <w:b/>
          <w:bCs/>
          <w:color w:val="auto"/>
          <w:sz w:val="30"/>
          <w:szCs w:val="30"/>
        </w:rPr>
        <w:t>第</w:t>
      </w:r>
      <w:r>
        <w:rPr>
          <w:rFonts w:hint="eastAsia" w:ascii="黑体" w:eastAsia="黑体"/>
          <w:b/>
          <w:bCs/>
          <w:color w:val="auto"/>
          <w:sz w:val="30"/>
          <w:szCs w:val="30"/>
          <w:lang w:val="en-US" w:eastAsia="zh-CN"/>
        </w:rPr>
        <w:t>三</w:t>
      </w:r>
      <w:r>
        <w:rPr>
          <w:rFonts w:hint="eastAsia" w:ascii="黑体" w:eastAsia="黑体"/>
          <w:b/>
          <w:bCs/>
          <w:color w:val="auto"/>
          <w:sz w:val="30"/>
          <w:szCs w:val="30"/>
        </w:rPr>
        <w:t>章  专项施工安全保证措施</w:t>
      </w:r>
      <w:bookmarkEnd w:id="178"/>
      <w:bookmarkEnd w:id="179"/>
      <w:bookmarkEnd w:id="180"/>
      <w:bookmarkEnd w:id="181"/>
      <w:bookmarkEnd w:id="182"/>
      <w:bookmarkEnd w:id="183"/>
      <w:bookmarkEnd w:id="184"/>
      <w:bookmarkEnd w:id="185"/>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2" w:firstLineChars="200"/>
        <w:jc w:val="both"/>
        <w:textAlignment w:val="auto"/>
        <w:rPr>
          <w:rFonts w:hint="eastAsia" w:asciiTheme="minorEastAsia" w:hAnsiTheme="minorEastAsia" w:eastAsiaTheme="minorEastAsia" w:cstheme="minorEastAsia"/>
          <w:b/>
          <w:bCs/>
          <w:color w:val="auto"/>
          <w:sz w:val="24"/>
          <w:szCs w:val="24"/>
          <w:lang w:val="en-US" w:eastAsia="zh-CN"/>
        </w:rPr>
      </w:pPr>
      <w:bookmarkStart w:id="186" w:name="_Toc27016"/>
      <w:bookmarkStart w:id="187" w:name="_Toc5318"/>
      <w:bookmarkStart w:id="188" w:name="_Toc24046"/>
      <w:bookmarkStart w:id="189" w:name="_Toc19193"/>
      <w:r>
        <w:rPr>
          <w:rFonts w:hint="eastAsia" w:asciiTheme="minorEastAsia" w:hAnsiTheme="minorEastAsia" w:eastAsiaTheme="minorEastAsia" w:cstheme="minorEastAsia"/>
          <w:b/>
          <w:bCs/>
          <w:color w:val="auto"/>
          <w:sz w:val="24"/>
          <w:szCs w:val="24"/>
          <w:lang w:val="en-US" w:eastAsia="zh-CN"/>
        </w:rPr>
        <w:t>一、安全生产教育及现场安全要求</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（一）</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员工上岗前，必须进行安全生产教育，待考核合格后，方准上岗作业，特种作业人员必须持证上岗；</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（二）</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所有现场作业人员必须购买意外伤害保险；</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（三）</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严禁违章作业；</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（四）</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施工现场当班人员必须穿戴好个人安全防护用品；</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（五）</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现场各种安全警示牌、标识牌、岗位责任制等必须清楚、醒目，各种防护罩及其他安全设施必须齐全、有效；</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（六）</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上塔作业人员必须系好安全带，活动工作台必须设置防坠装置；</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（七）</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在雷雨季节施工时，必须在钻塔上安装避雷针；</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（八）</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现场应配备6只以上灭火器（MFABC4）；</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（九）施工安全技术措施另行单独编制，审签后实施</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pPr>
      <w:r>
        <w:rPr>
          <w:rFonts w:hint="eastAsia" w:asciiTheme="minorEastAsia" w:hAnsiTheme="minorEastAsia" w:eastAsiaTheme="minorEastAsia" w:cstheme="minorEastAsia"/>
          <w:color w:val="auto"/>
          <w:sz w:val="24"/>
          <w:szCs w:val="24"/>
          <w:lang w:val="en-US" w:eastAsia="zh-CN"/>
        </w:rPr>
        <w:t>（十）本设计未尽事宜严格按《煤矿安全规程》（2025）和</w:t>
      </w:r>
      <w:r>
        <w:rPr>
          <w:rFonts w:hint="eastAsia" w:asciiTheme="minorEastAsia" w:hAnsiTheme="minorEastAsia" w:eastAsiaTheme="minorEastAsia" w:cstheme="minorEastAsia"/>
          <w:b w:val="0"/>
          <w:bCs w:val="0"/>
          <w:color w:val="auto"/>
          <w:kern w:val="2"/>
          <w:sz w:val="24"/>
          <w:szCs w:val="24"/>
          <w:shd w:val="clear" w:color="auto" w:fill="auto"/>
          <w:lang w:val="en-US" w:eastAsia="zh-CN" w:bidi="ar-SA"/>
        </w:rPr>
        <w:t>《地质勘探安全规程》（AQ 2004-2005）</w:t>
      </w:r>
      <w:r>
        <w:rPr>
          <w:rFonts w:hint="eastAsia" w:asciiTheme="minorEastAsia" w:hAnsiTheme="minorEastAsia" w:eastAsiaTheme="minorEastAsia" w:cstheme="minorEastAsia"/>
          <w:color w:val="auto"/>
          <w:sz w:val="24"/>
          <w:szCs w:val="24"/>
          <w:lang w:val="en-US" w:eastAsia="zh-CN"/>
        </w:rPr>
        <w:t>执行</w:t>
      </w:r>
      <w:r>
        <w:rPr>
          <w:rFonts w:hint="eastAsia" w:asciiTheme="minorEastAsia" w:hAnsiTheme="minorEastAsia" w:eastAsiaTheme="minorEastAsia" w:cstheme="minorEastAsia"/>
          <w:color w:val="auto"/>
          <w:sz w:val="24"/>
          <w:szCs w:val="24"/>
        </w:rPr>
        <w:t>。</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2" w:firstLineChars="200"/>
        <w:jc w:val="both"/>
        <w:textAlignment w:val="auto"/>
        <w:rPr>
          <w:rFonts w:hint="eastAsia" w:asciiTheme="minorEastAsia" w:hAnsiTheme="minorEastAsia" w:eastAsiaTheme="minorEastAsia" w:cstheme="minorEastAsia"/>
          <w:color w:val="auto"/>
          <w:sz w:val="24"/>
          <w:szCs w:val="24"/>
          <w:lang w:val="en-US"/>
        </w:rPr>
      </w:pPr>
      <w:r>
        <w:rPr>
          <w:rFonts w:hint="eastAsia" w:asciiTheme="minorEastAsia" w:hAnsiTheme="minorEastAsia" w:eastAsiaTheme="minorEastAsia" w:cstheme="minorEastAsia"/>
          <w:b/>
          <w:bCs/>
          <w:color w:val="auto"/>
          <w:sz w:val="24"/>
          <w:szCs w:val="24"/>
          <w:lang w:val="en-US" w:eastAsia="zh-CN"/>
        </w:rPr>
        <w:t>二、钻具使用安全措施</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钻头使用的基本规则参见</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钻头使用基本规则和磨损评定方法</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SY/T 5415</w:t>
      </w:r>
      <w:r>
        <w:rPr>
          <w:rFonts w:hint="eastAsia" w:asciiTheme="minorEastAsia" w:hAnsiTheme="minorEastAsia" w:eastAsiaTheme="minorEastAsia" w:cstheme="minorEastAsia"/>
          <w:color w:val="auto"/>
          <w:sz w:val="24"/>
          <w:szCs w:val="24"/>
          <w:lang w:val="en-US" w:eastAsia="zh-CN"/>
        </w:rPr>
        <w:t>-2012</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，操作基本规则如下：</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一</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钻头下井前应确认井底干净、无落物；</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二</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若起出钻头与下井钻头直径之差大于2mm，则应考虑通井；</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三</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钻头宜缓慢通过转盘。钻头通过井眼中的套管鞋、台阶、狗腿、缩径段时，应放慢下钻速度；</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四</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若必须在缩径段划眼，则应采用低转速、低钻压和尽可能大的流量划眼，缓慢通过缩径井段；</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五</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下最后一个单根或立柱时，宜缓慢开泵，逐渐加大排量至实际值，低转速缓慢下放，冲洗井底；</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六</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牙轮钻头按规定磨合30min；金刚石钻头按生产厂家推荐的钻井参数低转速、低钻压钻进0.3</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0.5m，完成井底造型，造型过程中，不应急于加钻压，以免损坏钻头；</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七</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接单根后应匀速下放至井底，逐渐加压，不应猛放、溜钻，避免钻头受损</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八</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开钻前对所有钻具、井下工具和接头进行探伤检查，防止有伤钻具入井；</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九</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钻井水使用前需要测试并添加杀菌剂/漂白剂处理水中的微生物</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十</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使用合格泥浆材料，泥浆材料应证件齐全；</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十一</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储备好液体、固体润滑剂，确保施工防止拖压。</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jc w:val="both"/>
        <w:textAlignment w:val="auto"/>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三、套管施工安全措施</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bookmarkStart w:id="190" w:name="_Toc18716"/>
      <w:r>
        <w:rPr>
          <w:rFonts w:hint="eastAsia" w:asciiTheme="minorEastAsia" w:hAnsiTheme="minorEastAsia" w:eastAsiaTheme="minorEastAsia" w:cstheme="minorEastAsia"/>
          <w:color w:val="auto"/>
          <w:sz w:val="24"/>
          <w:szCs w:val="24"/>
        </w:rPr>
        <w:t>套管要求</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提前将套管运至施工现场，套管进场后，根据材质单、合格证及</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质量管理体系</w:t>
      </w:r>
      <w:r>
        <w:rPr>
          <w:rFonts w:hint="eastAsia" w:asciiTheme="minorEastAsia" w:hAnsiTheme="minorEastAsia" w:eastAsiaTheme="minorEastAsia" w:cstheme="minorEastAsia"/>
          <w:color w:val="auto"/>
          <w:sz w:val="24"/>
          <w:szCs w:val="24"/>
          <w:lang w:val="en-US" w:eastAsia="zh-CN"/>
        </w:rPr>
        <w:t xml:space="preserve"> </w:t>
      </w:r>
      <w:r>
        <w:rPr>
          <w:rFonts w:hint="eastAsia" w:asciiTheme="minorEastAsia" w:hAnsiTheme="minorEastAsia" w:eastAsiaTheme="minorEastAsia" w:cstheme="minorEastAsia"/>
          <w:color w:val="auto"/>
          <w:sz w:val="24"/>
          <w:szCs w:val="24"/>
        </w:rPr>
        <w:t>要求</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GB/T 19001-2016</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，会同甲方对套管内、外表面、规格、外观质量进行验证，要求不允许有目视可见的裂纹、折叠、结疤、轧折和离层；无明显弯曲，椭圆，凹凸等现象，合格后才能进行下管作业。</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下</w:t>
      </w:r>
      <w:r>
        <w:rPr>
          <w:rFonts w:hint="eastAsia" w:asciiTheme="minorEastAsia" w:hAnsiTheme="minorEastAsia" w:eastAsiaTheme="minorEastAsia" w:cstheme="minorEastAsia"/>
          <w:color w:val="auto"/>
          <w:sz w:val="24"/>
          <w:szCs w:val="24"/>
        </w:rPr>
        <w:t>井套管证件齐全并现场留存（合格证、检查报告等）</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2" w:firstLineChars="200"/>
        <w:jc w:val="both"/>
        <w:textAlignment w:val="auto"/>
        <w:rPr>
          <w:rFonts w:hint="eastAsia" w:asciiTheme="minorEastAsia" w:hAnsiTheme="minorEastAsia" w:eastAsiaTheme="minorEastAsia" w:cstheme="minorEastAsia"/>
          <w:b/>
          <w:bCs/>
          <w:color w:val="auto"/>
          <w:sz w:val="24"/>
          <w:szCs w:val="24"/>
          <w:lang w:val="en-US" w:eastAsia="zh-CN"/>
        </w:rPr>
      </w:pPr>
      <w:bookmarkStart w:id="191" w:name="_Toc504663536"/>
      <w:bookmarkEnd w:id="191"/>
      <w:bookmarkStart w:id="192" w:name="_Toc276030278"/>
      <w:bookmarkEnd w:id="192"/>
      <w:bookmarkStart w:id="193" w:name="_Toc28034"/>
      <w:bookmarkStart w:id="194" w:name="_Toc504663538"/>
      <w:r>
        <w:rPr>
          <w:rFonts w:hint="eastAsia" w:asciiTheme="minorEastAsia" w:hAnsiTheme="minorEastAsia" w:eastAsiaTheme="minorEastAsia" w:cstheme="minorEastAsia"/>
          <w:b/>
          <w:bCs/>
          <w:color w:val="auto"/>
          <w:sz w:val="24"/>
          <w:szCs w:val="24"/>
          <w:lang w:val="en-US" w:eastAsia="zh-CN"/>
        </w:rPr>
        <w:t>四、</w:t>
      </w:r>
      <w:r>
        <w:rPr>
          <w:rFonts w:hint="eastAsia" w:asciiTheme="minorEastAsia" w:hAnsiTheme="minorEastAsia" w:eastAsiaTheme="minorEastAsia" w:cstheme="minorEastAsia"/>
          <w:b/>
          <w:bCs/>
          <w:color w:val="auto"/>
          <w:sz w:val="24"/>
          <w:szCs w:val="24"/>
        </w:rPr>
        <w:t>固井工艺</w:t>
      </w:r>
      <w:r>
        <w:rPr>
          <w:rFonts w:hint="eastAsia" w:asciiTheme="minorEastAsia" w:hAnsiTheme="minorEastAsia" w:eastAsiaTheme="minorEastAsia" w:cstheme="minorEastAsia"/>
          <w:b/>
          <w:bCs/>
          <w:color w:val="auto"/>
          <w:sz w:val="24"/>
          <w:szCs w:val="24"/>
          <w:lang w:val="en-US" w:eastAsia="zh-CN"/>
        </w:rPr>
        <w:t>安全措施</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套管到达井场后要进行根根通径、检查接箍及螺纹情况，详细检查内部包括：尺寸、钢级、壁厚、扣型、丝扣、接箍、内径规格及根数，</w:t>
      </w:r>
      <w:r>
        <w:rPr>
          <w:rFonts w:hint="eastAsia" w:asciiTheme="minorEastAsia" w:hAnsiTheme="minorEastAsia" w:eastAsiaTheme="minorEastAsia" w:cstheme="minorEastAsia"/>
          <w:color w:val="auto"/>
          <w:sz w:val="24"/>
          <w:szCs w:val="24"/>
          <w:highlight w:val="none"/>
          <w:lang w:val="en-US" w:eastAsia="zh-CN"/>
        </w:rPr>
        <w:t>测</w:t>
      </w:r>
      <w:r>
        <w:rPr>
          <w:rFonts w:hint="eastAsia" w:asciiTheme="minorEastAsia" w:hAnsiTheme="minorEastAsia" w:eastAsiaTheme="minorEastAsia" w:cstheme="minorEastAsia"/>
          <w:color w:val="auto"/>
          <w:sz w:val="24"/>
          <w:szCs w:val="24"/>
          <w:highlight w:val="none"/>
        </w:rPr>
        <w:t>量并编号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严防不合格套管入井。套管浮箍、浮鞋、胶塞、环形钢板等附件齐全，检查合格后对附件进</w:t>
      </w:r>
      <w:r>
        <w:rPr>
          <w:rFonts w:hint="eastAsia" w:asciiTheme="minorEastAsia" w:hAnsiTheme="minorEastAsia" w:eastAsiaTheme="minorEastAsia" w:cstheme="minorEastAsia"/>
          <w:color w:val="auto"/>
          <w:sz w:val="24"/>
          <w:szCs w:val="24"/>
        </w:rPr>
        <w:t>行清理丝扣。下套管是使用厂家提供的专用密封脂。一开固井候凝不低于8</w:t>
      </w:r>
      <w:r>
        <w:rPr>
          <w:rFonts w:hint="eastAsia" w:asciiTheme="minorEastAsia" w:hAnsiTheme="minorEastAsia" w:eastAsiaTheme="minorEastAsia" w:cstheme="minorEastAsia"/>
          <w:color w:val="auto"/>
          <w:sz w:val="24"/>
          <w:szCs w:val="24"/>
          <w:lang w:val="en-US" w:eastAsia="zh-CN"/>
        </w:rPr>
        <w:t>h</w:t>
      </w:r>
      <w:r>
        <w:rPr>
          <w:rFonts w:hint="eastAsia" w:asciiTheme="minorEastAsia" w:hAnsiTheme="minorEastAsia" w:eastAsiaTheme="minorEastAsia" w:cstheme="minorEastAsia"/>
          <w:color w:val="auto"/>
          <w:sz w:val="24"/>
          <w:szCs w:val="24"/>
        </w:rPr>
        <w:t>方可进行后续施工，二开全程固井碰压15M</w:t>
      </w:r>
      <w:r>
        <w:rPr>
          <w:rFonts w:hint="eastAsia" w:asciiTheme="minorEastAsia" w:hAnsiTheme="minorEastAsia" w:eastAsiaTheme="minorEastAsia" w:cstheme="minorEastAsia"/>
          <w:color w:val="auto"/>
          <w:sz w:val="24"/>
          <w:szCs w:val="24"/>
          <w:lang w:val="en-US" w:eastAsia="zh-CN"/>
        </w:rPr>
        <w:t>P</w:t>
      </w:r>
      <w:r>
        <w:rPr>
          <w:rFonts w:hint="eastAsia" w:asciiTheme="minorEastAsia" w:hAnsiTheme="minorEastAsia" w:eastAsiaTheme="minorEastAsia" w:cstheme="minorEastAsia"/>
          <w:color w:val="auto"/>
          <w:sz w:val="24"/>
          <w:szCs w:val="24"/>
        </w:rPr>
        <w:t>a，稳压10</w:t>
      </w:r>
      <w:r>
        <w:rPr>
          <w:rFonts w:hint="eastAsia" w:asciiTheme="minorEastAsia" w:hAnsiTheme="minorEastAsia" w:eastAsiaTheme="minorEastAsia" w:cstheme="minorEastAsia"/>
          <w:color w:val="auto"/>
          <w:sz w:val="24"/>
          <w:szCs w:val="24"/>
          <w:lang w:val="en-US" w:eastAsia="zh-CN"/>
        </w:rPr>
        <w:t>min</w:t>
      </w:r>
      <w:r>
        <w:rPr>
          <w:rFonts w:hint="eastAsia" w:asciiTheme="minorEastAsia" w:hAnsiTheme="minorEastAsia" w:eastAsiaTheme="minorEastAsia" w:cstheme="minorEastAsia"/>
          <w:color w:val="auto"/>
          <w:sz w:val="24"/>
          <w:szCs w:val="24"/>
        </w:rPr>
        <w:t>无压降正常，继续打压至20M</w:t>
      </w:r>
      <w:r>
        <w:rPr>
          <w:rFonts w:hint="eastAsia" w:asciiTheme="minorEastAsia" w:hAnsiTheme="minorEastAsia" w:eastAsiaTheme="minorEastAsia" w:cstheme="minorEastAsia"/>
          <w:color w:val="auto"/>
          <w:sz w:val="24"/>
          <w:szCs w:val="24"/>
          <w:lang w:val="en-US" w:eastAsia="zh-CN"/>
        </w:rPr>
        <w:t>P</w:t>
      </w:r>
      <w:r>
        <w:rPr>
          <w:rFonts w:hint="eastAsia" w:asciiTheme="minorEastAsia" w:hAnsiTheme="minorEastAsia" w:eastAsiaTheme="minorEastAsia" w:cstheme="minorEastAsia"/>
          <w:color w:val="auto"/>
          <w:sz w:val="24"/>
          <w:szCs w:val="24"/>
        </w:rPr>
        <w:t>a，稳压20</w:t>
      </w:r>
      <w:r>
        <w:rPr>
          <w:rFonts w:hint="eastAsia" w:asciiTheme="minorEastAsia" w:hAnsiTheme="minorEastAsia" w:eastAsiaTheme="minorEastAsia" w:cstheme="minorEastAsia"/>
          <w:color w:val="auto"/>
          <w:sz w:val="24"/>
          <w:szCs w:val="24"/>
          <w:lang w:val="en-US" w:eastAsia="zh-CN"/>
        </w:rPr>
        <w:t>min</w:t>
      </w:r>
      <w:r>
        <w:rPr>
          <w:rFonts w:hint="eastAsia" w:asciiTheme="minorEastAsia" w:hAnsiTheme="minorEastAsia" w:eastAsiaTheme="minorEastAsia" w:cstheme="minorEastAsia"/>
          <w:color w:val="auto"/>
          <w:sz w:val="24"/>
          <w:szCs w:val="24"/>
        </w:rPr>
        <w:t>，压降小于0.5M</w:t>
      </w:r>
      <w:r>
        <w:rPr>
          <w:rFonts w:hint="eastAsia" w:asciiTheme="minorEastAsia" w:hAnsiTheme="minorEastAsia" w:eastAsiaTheme="minorEastAsia" w:cstheme="minorEastAsia"/>
          <w:color w:val="auto"/>
          <w:sz w:val="24"/>
          <w:szCs w:val="24"/>
          <w:lang w:val="en-US" w:eastAsia="zh-CN"/>
        </w:rPr>
        <w:t>P</w:t>
      </w:r>
      <w:r>
        <w:rPr>
          <w:rFonts w:hint="eastAsia" w:asciiTheme="minorEastAsia" w:hAnsiTheme="minorEastAsia" w:eastAsiaTheme="minorEastAsia" w:cstheme="minorEastAsia"/>
          <w:color w:val="auto"/>
          <w:sz w:val="24"/>
          <w:szCs w:val="24"/>
        </w:rPr>
        <w:t>a为试压合格。</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一</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表层套管固井</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表层套管要防粘卡及遇阻等。下套管时严防错扣，上扣要达到规定的扭矩值。上扣不到位，不得使用电焊加焊处理，必须更换套管</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认真执行固井作业规程，下套管过程中要认真观察井口泥浆返出情况</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精心操作，控制上提下放速度，减小井内激动压力，防止井塌</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固井水泥要返至地面，套管内留10.0m以上水泥塞。水泥未返至地面要从井口环空灌注水泥浆，确保井口部位封固好、水平度合格</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5.</w:t>
      </w:r>
      <w:r>
        <w:rPr>
          <w:rFonts w:hint="eastAsia" w:asciiTheme="minorEastAsia" w:hAnsiTheme="minorEastAsia" w:eastAsiaTheme="minorEastAsia" w:cstheme="minorEastAsia"/>
          <w:color w:val="auto"/>
          <w:sz w:val="24"/>
          <w:szCs w:val="24"/>
        </w:rPr>
        <w:t>固井水泥返至地面。固井前把联顶节垫好、找正并固定，如果浮箍失效，则关井候凝6</w:t>
      </w:r>
      <w:r>
        <w:rPr>
          <w:rFonts w:hint="eastAsia" w:asciiTheme="minorEastAsia" w:hAnsiTheme="minorEastAsia" w:eastAsiaTheme="minorEastAsia" w:cstheme="minorEastAsia"/>
          <w:color w:val="auto"/>
          <w:sz w:val="24"/>
          <w:szCs w:val="24"/>
          <w:lang w:val="en-US" w:eastAsia="zh-CN"/>
        </w:rPr>
        <w:t>h</w:t>
      </w:r>
      <w:r>
        <w:rPr>
          <w:rFonts w:hint="eastAsia" w:asciiTheme="minorEastAsia" w:hAnsiTheme="minorEastAsia" w:eastAsiaTheme="minorEastAsia" w:cstheme="minorEastAsia"/>
          <w:color w:val="auto"/>
          <w:sz w:val="24"/>
          <w:szCs w:val="24"/>
        </w:rPr>
        <w:t>后，方可拆卸联顶节。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二</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生产套管固井</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把好井身质量关，在阻卡井段拉顺井眼，必要时进行划眼，保证井眼畅通。如有井漏，先堵漏后固井</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下套管前，对机房动力设备、钻井泵、钻机、循环系统等关键设备进行检修保养，保证固井施工中钻井设备运转正常；</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套管螺纹必须清洗干净，使用标准螺纹密封脂，涂抹均匀，涂抹套管螺纹锁紧密封脂，其余套管在螺纹表面均匀涂抹套管螺纹密封脂</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套管上钻台戴好护丝，严禁磕碰。控制套管下放速度，减小井内激动压力，防止井塌。并有专人观察井口钻井液返出情况，发现异常及时采取措施。要坚持每下入10</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15根灌一次，条件允许可以边下套管边灌浆。套管扶正器下入要求：直井段、斜井段要求2根一个弹性扶正器，水平段要求3根加一个整体式刚性扶正器</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5.</w:t>
      </w:r>
      <w:r>
        <w:rPr>
          <w:rFonts w:hint="eastAsia" w:asciiTheme="minorEastAsia" w:hAnsiTheme="minorEastAsia" w:eastAsiaTheme="minorEastAsia" w:cstheme="minorEastAsia"/>
          <w:color w:val="auto"/>
          <w:sz w:val="24"/>
          <w:szCs w:val="24"/>
        </w:rPr>
        <w:t>严格控制上扣速度，上扣速度小于25圈/</w:t>
      </w:r>
      <w:r>
        <w:rPr>
          <w:rFonts w:hint="eastAsia" w:asciiTheme="minorEastAsia" w:hAnsiTheme="minorEastAsia" w:eastAsiaTheme="minorEastAsia" w:cstheme="minorEastAsia"/>
          <w:color w:val="auto"/>
          <w:sz w:val="24"/>
          <w:szCs w:val="24"/>
          <w:lang w:val="en-US" w:eastAsia="zh-CN"/>
        </w:rPr>
        <w:t>min</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6.</w:t>
      </w:r>
      <w:r>
        <w:rPr>
          <w:rFonts w:hint="eastAsia" w:asciiTheme="minorEastAsia" w:hAnsiTheme="minorEastAsia" w:eastAsiaTheme="minorEastAsia" w:cstheme="minorEastAsia"/>
          <w:color w:val="auto"/>
          <w:sz w:val="24"/>
          <w:szCs w:val="24"/>
        </w:rPr>
        <w:t>固井过程中，有专人观察井口钻井液返出量，分析判断井下情况</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7.</w:t>
      </w:r>
      <w:r>
        <w:rPr>
          <w:rFonts w:hint="eastAsia" w:asciiTheme="minorEastAsia" w:hAnsiTheme="minorEastAsia" w:eastAsiaTheme="minorEastAsia" w:cstheme="minorEastAsia"/>
          <w:color w:val="auto"/>
          <w:sz w:val="24"/>
          <w:szCs w:val="24"/>
        </w:rPr>
        <w:t>要求各岗位紧密配合，确保注水泥作业连续进行</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8.</w:t>
      </w:r>
      <w:r>
        <w:rPr>
          <w:rFonts w:hint="eastAsia" w:asciiTheme="minorEastAsia" w:hAnsiTheme="minorEastAsia" w:eastAsiaTheme="minorEastAsia" w:cstheme="minorEastAsia"/>
          <w:color w:val="auto"/>
          <w:sz w:val="24"/>
          <w:szCs w:val="24"/>
        </w:rPr>
        <w:t>如果回压</w:t>
      </w:r>
      <w:r>
        <w:rPr>
          <w:rFonts w:hint="eastAsia" w:asciiTheme="minorEastAsia" w:hAnsiTheme="minorEastAsia" w:eastAsiaTheme="minorEastAsia" w:cstheme="minorEastAsia"/>
          <w:color w:val="auto"/>
          <w:sz w:val="24"/>
          <w:szCs w:val="24"/>
          <w:lang w:val="en-US" w:eastAsia="zh-CN"/>
        </w:rPr>
        <w:t>阀门</w:t>
      </w:r>
      <w:r>
        <w:rPr>
          <w:rFonts w:hint="eastAsia" w:asciiTheme="minorEastAsia" w:hAnsiTheme="minorEastAsia" w:eastAsiaTheme="minorEastAsia" w:cstheme="minorEastAsia"/>
          <w:color w:val="auto"/>
          <w:sz w:val="24"/>
          <w:szCs w:val="24"/>
        </w:rPr>
        <w:t>失灵，候凝期间要派专人观察井口压力变化，按要求放压，发现异常及时采取措施</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9.</w:t>
      </w:r>
      <w:r>
        <w:rPr>
          <w:rFonts w:hint="eastAsia" w:asciiTheme="minorEastAsia" w:hAnsiTheme="minorEastAsia" w:eastAsiaTheme="minorEastAsia" w:cstheme="minorEastAsia"/>
          <w:color w:val="auto"/>
          <w:sz w:val="24"/>
          <w:szCs w:val="24"/>
        </w:rPr>
        <w:t>全程固井需在着陆点以上40</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50m合适位置加装一节短套，水平段中间合适位置 加装一节短套。</w:t>
      </w:r>
      <w:r>
        <w:rPr>
          <w:rFonts w:hint="eastAsia" w:asciiTheme="minorEastAsia" w:hAnsiTheme="minorEastAsia" w:eastAsiaTheme="minorEastAsia" w:cstheme="minorEastAsia"/>
          <w:color w:val="auto"/>
          <w:sz w:val="24"/>
          <w:szCs w:val="24"/>
          <w:lang w:val="en-US" w:eastAsia="zh-CN"/>
        </w:rPr>
        <w:tab/>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三</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注水泥作业要求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生产套管固井前，施工单位应根据甲方要求，进行固井施工设计，并按规定报有关部门审批后实施。固井前召开三方固井协作会，明确各自责任和任务。</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按照井内温度、压力条件及水泥和外加剂设计，进行不同套管程序设计的水泥浆室内实验，要求各项性能指标达到要求，并提交试验报告</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每次固井施工前，施工单位要提交符合固井设计格式的施工报告</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注水泥浆之前，现场采样，进行水泥浆稠化时间，相溶性复合试验，确保注水泥浆施工安全、顺利</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套管下到设计位置之后，循环钻井液两周以上，钻井液性能达到注水泥浆要求</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5.</w:t>
      </w:r>
      <w:r>
        <w:rPr>
          <w:rFonts w:hint="eastAsia" w:asciiTheme="minorEastAsia" w:hAnsiTheme="minorEastAsia" w:eastAsiaTheme="minorEastAsia" w:cstheme="minorEastAsia"/>
          <w:color w:val="auto"/>
          <w:sz w:val="24"/>
          <w:szCs w:val="24"/>
        </w:rPr>
        <w:t>注水泥必须按照设计</w:t>
      </w:r>
      <w:r>
        <w:rPr>
          <w:rFonts w:hint="eastAsia" w:ascii="宋体" w:hAnsi="宋体" w:eastAsia="宋体" w:cs="宋体"/>
          <w:color w:val="auto"/>
          <w:sz w:val="24"/>
          <w:szCs w:val="24"/>
          <w:lang w:val="en-US" w:eastAsia="zh-CN"/>
        </w:rPr>
        <w:t>进行</w:t>
      </w:r>
      <w:r>
        <w:rPr>
          <w:rFonts w:hint="eastAsia" w:asciiTheme="minorEastAsia" w:hAnsiTheme="minorEastAsia" w:eastAsiaTheme="minorEastAsia" w:cstheme="minorEastAsia"/>
          <w:color w:val="auto"/>
          <w:sz w:val="24"/>
          <w:szCs w:val="24"/>
        </w:rPr>
        <w:t>，确保连续施工。水泥浆和前置液注入量、注替排量、水泥浆密度和性能必须达到设计要求，尽可能实现紊流顶替。单车和全车水泥浆密度应控制在设计要求的±0.03g/cm</w:t>
      </w:r>
      <w:r>
        <w:rPr>
          <w:rFonts w:hint="eastAsia" w:asciiTheme="minorEastAsia" w:hAnsiTheme="minorEastAsia" w:eastAsiaTheme="minorEastAsia" w:cstheme="minorEastAsia"/>
          <w:color w:val="auto"/>
          <w:sz w:val="24"/>
          <w:szCs w:val="24"/>
          <w:vertAlign w:val="superscript"/>
        </w:rPr>
        <w:t>3</w:t>
      </w:r>
      <w:r>
        <w:rPr>
          <w:rFonts w:hint="eastAsia" w:asciiTheme="minorEastAsia" w:hAnsiTheme="minorEastAsia" w:eastAsiaTheme="minorEastAsia" w:cstheme="minorEastAsia"/>
          <w:color w:val="auto"/>
          <w:sz w:val="24"/>
          <w:szCs w:val="24"/>
        </w:rPr>
        <w:t>范围以内</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6.</w:t>
      </w:r>
      <w:r>
        <w:rPr>
          <w:rFonts w:hint="eastAsia" w:asciiTheme="minorEastAsia" w:hAnsiTheme="minorEastAsia" w:eastAsiaTheme="minorEastAsia" w:cstheme="minorEastAsia"/>
          <w:color w:val="auto"/>
          <w:sz w:val="24"/>
          <w:szCs w:val="24"/>
        </w:rPr>
        <w:t>注水泥期间，专人专岗观察井口钻井液返出量，分析判断井下情况</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7.</w:t>
      </w:r>
      <w:r>
        <w:rPr>
          <w:rFonts w:hint="eastAsia" w:asciiTheme="minorEastAsia" w:hAnsiTheme="minorEastAsia" w:eastAsiaTheme="minorEastAsia" w:cstheme="minorEastAsia"/>
          <w:color w:val="auto"/>
          <w:sz w:val="24"/>
          <w:szCs w:val="24"/>
        </w:rPr>
        <w:t>采用放压候凝。若回压</w:t>
      </w:r>
      <w:r>
        <w:rPr>
          <w:rFonts w:hint="eastAsia" w:asciiTheme="minorEastAsia" w:hAnsiTheme="minorEastAsia" w:eastAsiaTheme="minorEastAsia" w:cstheme="minorEastAsia"/>
          <w:color w:val="auto"/>
          <w:sz w:val="24"/>
          <w:szCs w:val="24"/>
          <w:lang w:val="en-US" w:eastAsia="zh-CN"/>
        </w:rPr>
        <w:t>阀门</w:t>
      </w:r>
      <w:r>
        <w:rPr>
          <w:rFonts w:hint="eastAsia" w:asciiTheme="minorEastAsia" w:hAnsiTheme="minorEastAsia" w:eastAsiaTheme="minorEastAsia" w:cstheme="minorEastAsia"/>
          <w:color w:val="auto"/>
          <w:sz w:val="24"/>
          <w:szCs w:val="24"/>
        </w:rPr>
        <w:t>失灵，则要求顶压并控制其井口压力不高于管内外静压差1MPa，并要求有专人负责观察、放压和记录，发现异常及时采取措施。</w:t>
      </w:r>
    </w:p>
    <w:bookmarkEnd w:id="193"/>
    <w:bookmarkEnd w:id="194"/>
    <w:p>
      <w:pPr>
        <w:keepNext w:val="0"/>
        <w:keepLines w:val="0"/>
        <w:pageBreakBefore w:val="0"/>
        <w:widowControl w:val="0"/>
        <w:kinsoku/>
        <w:wordWrap/>
        <w:overflowPunct/>
        <w:topLinePunct w:val="0"/>
        <w:autoSpaceDE/>
        <w:autoSpaceDN/>
        <w:bidi w:val="0"/>
        <w:adjustRightInd/>
        <w:snapToGrid/>
        <w:spacing w:line="560" w:lineRule="exact"/>
        <w:ind w:firstLine="482" w:firstLineChars="200"/>
        <w:jc w:val="both"/>
        <w:textAlignment w:val="auto"/>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五、射孔施工安全措施</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b w:val="0"/>
          <w:bCs w:val="0"/>
          <w:color w:val="auto"/>
          <w:sz w:val="24"/>
          <w:szCs w:val="24"/>
        </w:rPr>
      </w:pPr>
      <w:bookmarkStart w:id="195" w:name="_Toc4963"/>
      <w:bookmarkEnd w:id="195"/>
      <w:bookmarkStart w:id="196" w:name="_Toc3655"/>
      <w:bookmarkEnd w:id="196"/>
      <w:bookmarkStart w:id="197" w:name="_Toc18072"/>
      <w:bookmarkEnd w:id="197"/>
      <w:bookmarkStart w:id="198" w:name="_Toc459120309"/>
      <w:bookmarkEnd w:id="198"/>
      <w:bookmarkStart w:id="199" w:name="_Toc4664"/>
      <w:bookmarkEnd w:id="199"/>
      <w:bookmarkStart w:id="200" w:name="_Toc21748"/>
      <w:bookmarkStart w:id="201" w:name="_Toc153047306"/>
      <w:r>
        <w:rPr>
          <w:rFonts w:hint="eastAsia" w:asciiTheme="minorEastAsia" w:hAnsiTheme="minorEastAsia" w:eastAsiaTheme="minorEastAsia" w:cstheme="minorEastAsia"/>
          <w:b w:val="0"/>
          <w:bCs w:val="0"/>
          <w:color w:val="auto"/>
          <w:sz w:val="24"/>
          <w:szCs w:val="24"/>
          <w:lang w:eastAsia="zh-CN"/>
        </w:rPr>
        <w:t>（</w:t>
      </w:r>
      <w:r>
        <w:rPr>
          <w:rFonts w:hint="eastAsia" w:asciiTheme="minorEastAsia" w:hAnsiTheme="minorEastAsia" w:eastAsiaTheme="minorEastAsia" w:cstheme="minorEastAsia"/>
          <w:b w:val="0"/>
          <w:bCs w:val="0"/>
          <w:color w:val="auto"/>
          <w:sz w:val="24"/>
          <w:szCs w:val="24"/>
          <w:lang w:val="en-US" w:eastAsia="zh-CN"/>
        </w:rPr>
        <w:t>一</w:t>
      </w:r>
      <w:r>
        <w:rPr>
          <w:rFonts w:hint="eastAsia" w:asciiTheme="minorEastAsia" w:hAnsiTheme="minorEastAsia" w:eastAsiaTheme="minorEastAsia" w:cstheme="minorEastAsia"/>
          <w:b w:val="0"/>
          <w:bCs w:val="0"/>
          <w:color w:val="auto"/>
          <w:sz w:val="24"/>
          <w:szCs w:val="24"/>
          <w:lang w:eastAsia="zh-CN"/>
        </w:rPr>
        <w:t>）</w:t>
      </w:r>
      <w:r>
        <w:rPr>
          <w:rFonts w:hint="eastAsia" w:asciiTheme="minorEastAsia" w:hAnsiTheme="minorEastAsia" w:eastAsiaTheme="minorEastAsia" w:cstheme="minorEastAsia"/>
          <w:b w:val="0"/>
          <w:bCs w:val="0"/>
          <w:color w:val="auto"/>
          <w:sz w:val="24"/>
          <w:szCs w:val="24"/>
        </w:rPr>
        <w:t>场地布置</w:t>
      </w:r>
      <w:bookmarkEnd w:id="200"/>
      <w:bookmarkEnd w:id="201"/>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吊车、防喷装置</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运输车摆放在方便吊装的位置；摆放绞车对准井口，放置绞车轮胎掩木</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在绞车停放位置至井口区域铺设塑料胶布，防止作业的油污污染地面和地面砂石粘附电缆</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在工作区域设置安全警戒带，在出入口旁放置警示牌和静电释放装置</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检查井场漏电情况。</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b w:val="0"/>
          <w:bCs w:val="0"/>
          <w:color w:val="auto"/>
          <w:sz w:val="24"/>
          <w:szCs w:val="24"/>
        </w:rPr>
      </w:pPr>
      <w:bookmarkStart w:id="202" w:name="_Toc12427"/>
      <w:bookmarkEnd w:id="202"/>
      <w:bookmarkStart w:id="203" w:name="_Toc459120310"/>
      <w:bookmarkEnd w:id="203"/>
      <w:bookmarkStart w:id="204" w:name="_Toc23984"/>
      <w:bookmarkEnd w:id="204"/>
      <w:bookmarkStart w:id="205" w:name="_Toc27498"/>
      <w:bookmarkEnd w:id="205"/>
      <w:bookmarkStart w:id="206" w:name="_Toc20076"/>
      <w:bookmarkEnd w:id="206"/>
      <w:bookmarkStart w:id="207" w:name="_Toc153047307"/>
      <w:bookmarkStart w:id="208" w:name="_Toc28340"/>
      <w:r>
        <w:rPr>
          <w:rFonts w:hint="eastAsia" w:asciiTheme="minorEastAsia" w:hAnsiTheme="minorEastAsia" w:eastAsiaTheme="minorEastAsia" w:cstheme="minorEastAsia"/>
          <w:b w:val="0"/>
          <w:bCs w:val="0"/>
          <w:color w:val="auto"/>
          <w:sz w:val="24"/>
          <w:szCs w:val="24"/>
          <w:lang w:eastAsia="zh-CN"/>
        </w:rPr>
        <w:t>（</w:t>
      </w:r>
      <w:r>
        <w:rPr>
          <w:rFonts w:hint="eastAsia" w:asciiTheme="minorEastAsia" w:hAnsiTheme="minorEastAsia" w:eastAsiaTheme="minorEastAsia" w:cstheme="minorEastAsia"/>
          <w:b w:val="0"/>
          <w:bCs w:val="0"/>
          <w:color w:val="auto"/>
          <w:sz w:val="24"/>
          <w:szCs w:val="24"/>
          <w:lang w:val="en-US" w:eastAsia="zh-CN"/>
        </w:rPr>
        <w:t>二</w:t>
      </w:r>
      <w:r>
        <w:rPr>
          <w:rFonts w:hint="eastAsia" w:asciiTheme="minorEastAsia" w:hAnsiTheme="minorEastAsia" w:eastAsiaTheme="minorEastAsia" w:cstheme="minorEastAsia"/>
          <w:b w:val="0"/>
          <w:bCs w:val="0"/>
          <w:color w:val="auto"/>
          <w:sz w:val="24"/>
          <w:szCs w:val="24"/>
          <w:lang w:eastAsia="zh-CN"/>
        </w:rPr>
        <w:t>）</w:t>
      </w:r>
      <w:r>
        <w:rPr>
          <w:rFonts w:hint="eastAsia" w:asciiTheme="minorEastAsia" w:hAnsiTheme="minorEastAsia" w:eastAsiaTheme="minorEastAsia" w:cstheme="minorEastAsia"/>
          <w:b w:val="0"/>
          <w:bCs w:val="0"/>
          <w:color w:val="auto"/>
          <w:sz w:val="24"/>
          <w:szCs w:val="24"/>
        </w:rPr>
        <w:t>井口设施安装</w:t>
      </w:r>
      <w:bookmarkEnd w:id="207"/>
      <w:bookmarkEnd w:id="208"/>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使用10T链条将张力计和地滑轮固定在井口压裂下部并安装地滑轮支撑架，连接张力通讯线</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绞车下放足够长的电缆，将电缆安装在地滑轮</w:t>
      </w:r>
      <w:r>
        <w:rPr>
          <w:rFonts w:hint="eastAsia" w:asciiTheme="minorEastAsia" w:hAnsiTheme="minorEastAsia" w:eastAsiaTheme="minorEastAsia" w:cstheme="minorEastAsia"/>
          <w:color w:val="auto"/>
          <w:sz w:val="24"/>
          <w:szCs w:val="24"/>
          <w:lang w:val="en-US" w:eastAsia="zh-CN"/>
        </w:rPr>
        <w:t>上</w:t>
      </w:r>
      <w:r>
        <w:rPr>
          <w:rFonts w:hint="eastAsia" w:asciiTheme="minorEastAsia" w:hAnsiTheme="minorEastAsia" w:eastAsiaTheme="minorEastAsia" w:cstheme="minorEastAsia"/>
          <w:color w:val="auto"/>
          <w:sz w:val="24"/>
          <w:szCs w:val="24"/>
        </w:rPr>
        <w:t>，以便下一步将电缆安装于天滑轮、控制头及防喷管，将多余电缆放于安全位置（电缆支架上），确保后续起吊作业的安全</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将空压机托撬、液控注脂托撬置于地面合适位置，地面连接控制头（5根阻流管）、防喷管（2.0m×6根）、及其注脂、回脂、液控、溢流等管线，并用透明胶带、铅丝固定控制头管线。按连接顺序连接各部件</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在防喷管最上部安装吊臂，连接三角吊板、钢丝绳、天滑轮等部件；将电缆穿过天滑轮、控制头、防喷管，铠装电缆头，连接马笼头与磁定位仪</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5.</w:t>
      </w:r>
      <w:r>
        <w:rPr>
          <w:rFonts w:hint="eastAsia" w:asciiTheme="minorEastAsia" w:hAnsiTheme="minorEastAsia" w:eastAsiaTheme="minorEastAsia" w:cstheme="minorEastAsia"/>
          <w:color w:val="auto"/>
          <w:sz w:val="24"/>
          <w:szCs w:val="24"/>
        </w:rPr>
        <w:t>地面作业的同时，吊车将井口转换法兰吊至压裂井口，将二者稳固连接，使用同样方法顺次完成液控双闸板防喷器、循环三通、液控下捕捉器的连接；连接液控下捕捉器液控管线、放压管线及液控双闸板防喷器注脂管线</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6.</w:t>
      </w:r>
      <w:r>
        <w:rPr>
          <w:rFonts w:hint="eastAsia" w:asciiTheme="minorEastAsia" w:hAnsiTheme="minorEastAsia" w:eastAsiaTheme="minorEastAsia" w:cstheme="minorEastAsia"/>
          <w:color w:val="auto"/>
          <w:sz w:val="24"/>
          <w:szCs w:val="24"/>
        </w:rPr>
        <w:t>进行上述工作的同时，装配并连接下井工具串</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7.</w:t>
      </w:r>
      <w:r>
        <w:rPr>
          <w:rFonts w:hint="eastAsia" w:asciiTheme="minorEastAsia" w:hAnsiTheme="minorEastAsia" w:eastAsiaTheme="minorEastAsia" w:cstheme="minorEastAsia"/>
          <w:color w:val="auto"/>
          <w:sz w:val="24"/>
          <w:szCs w:val="24"/>
        </w:rPr>
        <w:t>在地滑轮处拉拽电缆</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其他人配合推送下井工具串，将工具串置于防喷管内，安装并固定起吊滑车</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8.</w:t>
      </w:r>
      <w:r>
        <w:rPr>
          <w:rFonts w:hint="eastAsia" w:asciiTheme="minorEastAsia" w:hAnsiTheme="minorEastAsia" w:eastAsiaTheme="minorEastAsia" w:cstheme="minorEastAsia"/>
          <w:color w:val="auto"/>
          <w:sz w:val="24"/>
          <w:szCs w:val="24"/>
        </w:rPr>
        <w:t>用35T吊车将天滑轮、控制头及防喷管串等装置缓慢吊起，防喷管串处于垂直状态后，卸掉起吊滑车，吊车继续提升防喷管串，直至防喷管底部高于井口上面的液控下捕捉器50cm左右。期间绞车同步配合放电缆，工具串一直漏出防喷管50cm左右</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9.</w:t>
      </w:r>
      <w:r>
        <w:rPr>
          <w:rFonts w:hint="eastAsia" w:asciiTheme="minorEastAsia" w:hAnsiTheme="minorEastAsia" w:eastAsiaTheme="minorEastAsia" w:cstheme="minorEastAsia"/>
          <w:color w:val="auto"/>
          <w:sz w:val="24"/>
          <w:szCs w:val="24"/>
        </w:rPr>
        <w:t>启动空压机打足液控及注脂气源压力，使下捕捉器拨叉处于“常闭”状态</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10.</w:t>
      </w:r>
      <w:r>
        <w:rPr>
          <w:rFonts w:hint="eastAsia" w:asciiTheme="minorEastAsia" w:hAnsiTheme="minorEastAsia" w:eastAsiaTheme="minorEastAsia" w:cstheme="minorEastAsia"/>
          <w:color w:val="auto"/>
          <w:sz w:val="24"/>
          <w:szCs w:val="24"/>
        </w:rPr>
        <w:t>用绞车提升下井工具串，使之全部进入防喷管，吊车摆动防喷管使其与井口同心，下放防喷管，连接防喷管。期间严防工具串“</w:t>
      </w:r>
      <w:r>
        <w:rPr>
          <w:rFonts w:hint="eastAsia" w:asciiTheme="minorEastAsia" w:hAnsiTheme="minorEastAsia" w:eastAsiaTheme="minorEastAsia" w:cstheme="minorEastAsia"/>
          <w:color w:val="auto"/>
          <w:sz w:val="24"/>
          <w:szCs w:val="24"/>
          <w:lang w:val="en-US" w:eastAsia="zh-CN"/>
        </w:rPr>
        <w:t>触</w:t>
      </w:r>
      <w:r>
        <w:rPr>
          <w:rFonts w:hint="eastAsia" w:asciiTheme="minorEastAsia" w:hAnsiTheme="minorEastAsia" w:eastAsiaTheme="minorEastAsia" w:cstheme="minorEastAsia"/>
          <w:color w:val="auto"/>
          <w:sz w:val="24"/>
          <w:szCs w:val="24"/>
        </w:rPr>
        <w:t>顶”</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11.</w:t>
      </w:r>
      <w:r>
        <w:rPr>
          <w:rFonts w:hint="eastAsia" w:asciiTheme="minorEastAsia" w:hAnsiTheme="minorEastAsia" w:eastAsiaTheme="minorEastAsia" w:cstheme="minorEastAsia"/>
          <w:color w:val="auto"/>
          <w:sz w:val="24"/>
          <w:szCs w:val="24"/>
        </w:rPr>
        <w:t>防喷管连接完毕后，吊车上提张力锁定为3T</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12.</w:t>
      </w:r>
      <w:r>
        <w:rPr>
          <w:rFonts w:hint="eastAsia" w:asciiTheme="minorEastAsia" w:hAnsiTheme="minorEastAsia" w:eastAsiaTheme="minorEastAsia" w:cstheme="minorEastAsia"/>
          <w:color w:val="auto"/>
          <w:sz w:val="24"/>
          <w:szCs w:val="24"/>
        </w:rPr>
        <w:t>采用人工压电缆的方法使工具串触顶，绞车缓慢拉直电缆，仪器及绞车深度表置零</w:t>
      </w:r>
      <w:r>
        <w:rPr>
          <w:rFonts w:hint="eastAsia" w:asciiTheme="minorEastAsia" w:hAnsiTheme="minorEastAsia" w:eastAsiaTheme="minorEastAsia" w:cstheme="minorEastAsia"/>
          <w:color w:val="auto"/>
          <w:sz w:val="24"/>
          <w:szCs w:val="24"/>
          <w:lang w:eastAsia="zh-CN"/>
        </w:rPr>
        <w:t>。</w:t>
      </w:r>
    </w:p>
    <w:p>
      <w:pPr>
        <w:pStyle w:val="23"/>
        <w:keepNext w:val="0"/>
        <w:keepLines w:val="0"/>
        <w:pageBreakBefore w:val="0"/>
        <w:widowControl w:val="0"/>
        <w:kinsoku/>
        <w:wordWrap/>
        <w:overflowPunct/>
        <w:topLinePunct w:val="0"/>
        <w:autoSpaceDE/>
        <w:autoSpaceDN/>
        <w:bidi w:val="0"/>
        <w:adjustRightInd/>
        <w:snapToGrid/>
        <w:spacing w:after="0" w:line="560" w:lineRule="exact"/>
        <w:ind w:firstLine="482" w:firstLineChars="200"/>
        <w:jc w:val="both"/>
        <w:textAlignment w:val="auto"/>
        <w:rPr>
          <w:rFonts w:hint="eastAsia" w:asciiTheme="minorEastAsia" w:hAnsiTheme="minorEastAsia" w:eastAsiaTheme="minorEastAsia" w:cstheme="minorEastAsia"/>
          <w:b/>
          <w:bCs/>
          <w:color w:val="auto"/>
          <w:sz w:val="24"/>
          <w:szCs w:val="24"/>
          <w:lang w:val="en-US" w:eastAsia="zh-CN"/>
        </w:rPr>
      </w:pPr>
      <w:bookmarkStart w:id="209" w:name="_Toc459120319"/>
      <w:bookmarkEnd w:id="209"/>
      <w:bookmarkStart w:id="210" w:name="_Toc22528"/>
      <w:bookmarkEnd w:id="210"/>
      <w:bookmarkStart w:id="211" w:name="_Toc26700"/>
      <w:bookmarkEnd w:id="211"/>
      <w:bookmarkStart w:id="212" w:name="_Toc24088"/>
      <w:bookmarkEnd w:id="212"/>
      <w:bookmarkStart w:id="213" w:name="_Toc396547764"/>
      <w:bookmarkEnd w:id="213"/>
      <w:bookmarkStart w:id="214" w:name="_Toc13060"/>
      <w:bookmarkEnd w:id="214"/>
      <w:r>
        <w:rPr>
          <w:rFonts w:hint="eastAsia" w:asciiTheme="minorEastAsia" w:hAnsiTheme="minorEastAsia" w:eastAsiaTheme="minorEastAsia" w:cstheme="minorEastAsia"/>
          <w:b/>
          <w:bCs/>
          <w:color w:val="auto"/>
          <w:sz w:val="24"/>
          <w:szCs w:val="24"/>
          <w:lang w:val="en-US" w:eastAsia="zh-CN"/>
        </w:rPr>
        <w:t>六、压裂施工安全措施</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b w:val="0"/>
          <w:bCs w:val="0"/>
          <w:color w:val="auto"/>
          <w:sz w:val="24"/>
          <w:szCs w:val="24"/>
        </w:rPr>
      </w:pPr>
      <w:r>
        <w:rPr>
          <w:rFonts w:hint="eastAsia" w:asciiTheme="minorEastAsia" w:hAnsiTheme="minorEastAsia" w:eastAsiaTheme="minorEastAsia" w:cstheme="minorEastAsia"/>
          <w:b w:val="0"/>
          <w:bCs w:val="0"/>
          <w:color w:val="auto"/>
          <w:sz w:val="24"/>
          <w:szCs w:val="24"/>
          <w:lang w:eastAsia="zh-CN"/>
        </w:rPr>
        <w:t>（</w:t>
      </w:r>
      <w:r>
        <w:rPr>
          <w:rFonts w:hint="eastAsia" w:asciiTheme="minorEastAsia" w:hAnsiTheme="minorEastAsia" w:eastAsiaTheme="minorEastAsia" w:cstheme="minorEastAsia"/>
          <w:b w:val="0"/>
          <w:bCs w:val="0"/>
          <w:color w:val="auto"/>
          <w:sz w:val="24"/>
          <w:szCs w:val="24"/>
          <w:lang w:val="en-US" w:eastAsia="zh-CN"/>
        </w:rPr>
        <w:t>一</w:t>
      </w:r>
      <w:r>
        <w:rPr>
          <w:rFonts w:hint="eastAsia" w:asciiTheme="minorEastAsia" w:hAnsiTheme="minorEastAsia" w:eastAsiaTheme="minorEastAsia" w:cstheme="minorEastAsia"/>
          <w:b w:val="0"/>
          <w:bCs w:val="0"/>
          <w:color w:val="auto"/>
          <w:sz w:val="24"/>
          <w:szCs w:val="24"/>
          <w:lang w:eastAsia="zh-CN"/>
        </w:rPr>
        <w:t>）</w:t>
      </w:r>
      <w:r>
        <w:rPr>
          <w:rFonts w:hint="eastAsia" w:asciiTheme="minorEastAsia" w:hAnsiTheme="minorEastAsia" w:eastAsiaTheme="minorEastAsia" w:cstheme="minorEastAsia"/>
          <w:b w:val="0"/>
          <w:bCs w:val="0"/>
          <w:color w:val="auto"/>
          <w:sz w:val="24"/>
          <w:szCs w:val="24"/>
        </w:rPr>
        <w:t>压裂施工要求</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施工中资料录取要求：实时监测压裂施工中压力、排量、砂比等各项施工参数并记录。对于压前及压后资料录取按照《</w:t>
      </w:r>
      <w:r>
        <w:rPr>
          <w:rFonts w:hint="eastAsia" w:asciiTheme="minorEastAsia" w:hAnsiTheme="minorEastAsia" w:eastAsiaTheme="minorEastAsia" w:cstheme="minorEastAsia"/>
          <w:color w:val="auto"/>
          <w:sz w:val="24"/>
          <w:szCs w:val="24"/>
          <w:lang w:val="en-US" w:eastAsia="zh-CN"/>
        </w:rPr>
        <w:t>地面</w:t>
      </w:r>
      <w:r>
        <w:rPr>
          <w:rFonts w:hint="eastAsia" w:asciiTheme="minorEastAsia" w:hAnsiTheme="minorEastAsia" w:eastAsiaTheme="minorEastAsia" w:cstheme="minorEastAsia"/>
          <w:color w:val="auto"/>
          <w:sz w:val="24"/>
          <w:szCs w:val="24"/>
        </w:rPr>
        <w:t>煤层气井压裂</w:t>
      </w:r>
      <w:r>
        <w:rPr>
          <w:rFonts w:hint="eastAsia" w:asciiTheme="minorEastAsia" w:hAnsiTheme="minorEastAsia" w:eastAsiaTheme="minorEastAsia" w:cstheme="minorEastAsia"/>
          <w:color w:val="auto"/>
          <w:sz w:val="24"/>
          <w:szCs w:val="24"/>
          <w:lang w:val="en-US" w:eastAsia="zh-CN"/>
        </w:rPr>
        <w:t>施工设计规范</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MT/T 1196-2020</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的要求填写</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r>
        <w:rPr>
          <w:rFonts w:hint="eastAsia" w:asciiTheme="minorEastAsia" w:hAnsiTheme="minorEastAsia" w:eastAsiaTheme="minorEastAsia" w:cstheme="minorEastAsia"/>
          <w:color w:val="auto"/>
          <w:sz w:val="24"/>
          <w:szCs w:val="24"/>
        </w:rPr>
        <w:t>成立施工指挥小组，确定施工指挥人员。压前召开安全分工会，进行措施交底，使每个单位、施工人员岗位责任明确，团结协作</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施工时由指挥人员统一指挥，施工时若发生特殊情况，负责人员应及时商议，果断处理</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4.</w:t>
      </w:r>
      <w:r>
        <w:rPr>
          <w:rFonts w:hint="eastAsia" w:asciiTheme="minorEastAsia" w:hAnsiTheme="minorEastAsia" w:eastAsiaTheme="minorEastAsia" w:cstheme="minorEastAsia"/>
          <w:color w:val="auto"/>
          <w:sz w:val="24"/>
          <w:szCs w:val="24"/>
        </w:rPr>
        <w:t>施工中指挥人员必须服从现场压裂监督的监督与指挥</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5.</w:t>
      </w:r>
      <w:r>
        <w:rPr>
          <w:rFonts w:hint="eastAsia" w:asciiTheme="minorEastAsia" w:hAnsiTheme="minorEastAsia" w:eastAsiaTheme="minorEastAsia" w:cstheme="minorEastAsia"/>
          <w:color w:val="auto"/>
          <w:sz w:val="24"/>
          <w:szCs w:val="24"/>
        </w:rPr>
        <w:t>仪表车、混砂车、砂罐车、井口、压裂液罐区必须保证通讯畅通，严格按指令行事</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6.</w:t>
      </w:r>
      <w:r>
        <w:rPr>
          <w:rFonts w:hint="eastAsia" w:asciiTheme="minorEastAsia" w:hAnsiTheme="minorEastAsia" w:eastAsiaTheme="minorEastAsia" w:cstheme="minorEastAsia"/>
          <w:color w:val="auto"/>
          <w:sz w:val="24"/>
          <w:szCs w:val="24"/>
        </w:rPr>
        <w:t>本次施工压力最高限压30MPa</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7.使用液氮、二氧化碳压裂时要有防冻堵、防操作人员窒息措施。对高压气井压裂，井口配置防喷器及相应的辅助工具。</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8.在居民住宅等要害地区施工，应有明显的安全提示牌标记，并有相应的应急逃生及疏散群众预案。</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9.</w:t>
      </w:r>
      <w:r>
        <w:rPr>
          <w:rFonts w:hint="eastAsia" w:asciiTheme="minorEastAsia" w:hAnsiTheme="minorEastAsia" w:eastAsiaTheme="minorEastAsia" w:cstheme="minorEastAsia"/>
          <w:color w:val="auto"/>
          <w:sz w:val="24"/>
          <w:szCs w:val="24"/>
          <w:lang w:eastAsia="zh-CN"/>
        </w:rPr>
        <w:t>在整个施工的全过程中，要严格执行</w:t>
      </w:r>
      <w:r>
        <w:rPr>
          <w:rFonts w:hint="eastAsia" w:asciiTheme="minorEastAsia" w:hAnsiTheme="minorEastAsia" w:eastAsiaTheme="minorEastAsia" w:cstheme="minorEastAsia"/>
          <w:color w:val="auto"/>
          <w:sz w:val="24"/>
          <w:szCs w:val="24"/>
          <w:lang w:val="en-US" w:eastAsia="zh-CN"/>
        </w:rPr>
        <w:t>环境保护</w:t>
      </w:r>
      <w:r>
        <w:rPr>
          <w:rFonts w:hint="eastAsia" w:asciiTheme="minorEastAsia" w:hAnsiTheme="minorEastAsia" w:eastAsiaTheme="minorEastAsia" w:cstheme="minorEastAsia"/>
          <w:color w:val="auto"/>
          <w:sz w:val="24"/>
          <w:szCs w:val="24"/>
          <w:lang w:eastAsia="zh-CN"/>
        </w:rPr>
        <w:t>的相关规定，严禁在井场附近排放残液、废液，做到工完料尽。</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10.每种添加剂须提供材料安全使用说明书。</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11.压裂车的安全阀应定期检测，施工前应进行检查。</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default" w:asciiTheme="minorEastAsia" w:hAnsiTheme="minorEastAsia" w:eastAsiaTheme="minorEastAsia" w:cstheme="minorEastAsia"/>
          <w:b/>
          <w:bCs/>
          <w:color w:val="auto"/>
          <w:sz w:val="24"/>
          <w:szCs w:val="24"/>
          <w:lang w:val="en-US" w:eastAsia="zh-CN"/>
        </w:rPr>
      </w:pPr>
      <w:bookmarkStart w:id="215" w:name="OLE_LINK2"/>
      <w:r>
        <w:rPr>
          <w:rFonts w:hint="eastAsia" w:asciiTheme="minorEastAsia" w:hAnsiTheme="minorEastAsia" w:eastAsiaTheme="minorEastAsia" w:cstheme="minorEastAsia"/>
          <w:b/>
          <w:bCs/>
          <w:color w:val="auto"/>
          <w:sz w:val="24"/>
          <w:szCs w:val="24"/>
          <w:lang w:val="en-US" w:eastAsia="zh-CN"/>
        </w:rPr>
        <w:t>七、压裂井过断层防漏措施</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bCs/>
          <w:color w:val="auto"/>
          <w:sz w:val="24"/>
          <w:lang w:val="en-US" w:eastAsia="zh-CN"/>
        </w:rPr>
        <w:t>1.</w:t>
      </w:r>
      <w:r>
        <w:rPr>
          <w:rFonts w:hint="eastAsia" w:ascii="宋体" w:hAnsi="宋体" w:eastAsia="宋体" w:cs="宋体"/>
          <w:bCs/>
          <w:color w:val="auto"/>
          <w:sz w:val="24"/>
        </w:rPr>
        <w:t>过断层</w:t>
      </w:r>
      <w:r>
        <w:rPr>
          <w:rFonts w:hint="eastAsia" w:ascii="宋体" w:hAnsi="宋体" w:eastAsia="宋体" w:cs="宋体"/>
          <w:color w:val="auto"/>
          <w:sz w:val="24"/>
        </w:rPr>
        <w:t>井漏预防措施</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1</w:t>
      </w:r>
      <w:r>
        <w:rPr>
          <w:rFonts w:hint="eastAsia" w:ascii="宋体" w:hAnsi="宋体" w:eastAsia="宋体" w:cs="宋体"/>
          <w:color w:val="auto"/>
          <w:sz w:val="24"/>
          <w:lang w:eastAsia="zh-CN"/>
        </w:rPr>
        <w:t>）</w:t>
      </w:r>
      <w:r>
        <w:rPr>
          <w:rFonts w:hint="eastAsia" w:ascii="宋体" w:hAnsi="宋体" w:eastAsia="宋体" w:cs="宋体"/>
          <w:color w:val="auto"/>
          <w:sz w:val="24"/>
        </w:rPr>
        <w:t>表层黄土层胶结强度低，渗透性强，采用坂土钻井液，加入1%单向压力暂堵剂；保证携岩排量，降低井内岩屑浓度，表套管脚要坐入坚硬地层；</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2</w:t>
      </w:r>
      <w:r>
        <w:rPr>
          <w:rFonts w:hint="eastAsia" w:ascii="宋体" w:hAnsi="宋体" w:eastAsia="宋体" w:cs="宋体"/>
          <w:color w:val="auto"/>
          <w:sz w:val="24"/>
          <w:lang w:eastAsia="zh-CN"/>
        </w:rPr>
        <w:t>）</w:t>
      </w:r>
      <w:r>
        <w:rPr>
          <w:rFonts w:hint="eastAsia" w:ascii="宋体" w:hAnsi="宋体" w:eastAsia="宋体" w:cs="宋体"/>
          <w:color w:val="auto"/>
          <w:sz w:val="24"/>
        </w:rPr>
        <w:t>钻遇易漏层段起下钻或接单根，加大单向压力暂堵剂用量2-5%，使钻井液具有良好的封堵作用，以提高地层的抗张能力；</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3</w:t>
      </w:r>
      <w:r>
        <w:rPr>
          <w:rFonts w:hint="eastAsia" w:ascii="宋体" w:hAnsi="宋体" w:eastAsia="宋体" w:cs="宋体"/>
          <w:color w:val="auto"/>
          <w:sz w:val="24"/>
          <w:lang w:eastAsia="zh-CN"/>
        </w:rPr>
        <w:t>）</w:t>
      </w:r>
      <w:r>
        <w:rPr>
          <w:rFonts w:hint="eastAsia" w:ascii="宋体" w:hAnsi="宋体" w:eastAsia="宋体" w:cs="宋体"/>
          <w:color w:val="auto"/>
          <w:sz w:val="24"/>
        </w:rPr>
        <w:t>提高钻井液密度时，应严格控制加重速度以放压漏地层，确保钻井液密度均匀。</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2.</w:t>
      </w:r>
      <w:r>
        <w:rPr>
          <w:rFonts w:hint="eastAsia" w:ascii="宋体" w:hAnsi="宋体" w:eastAsia="宋体" w:cs="宋体"/>
          <w:bCs/>
          <w:color w:val="auto"/>
          <w:sz w:val="24"/>
        </w:rPr>
        <w:t>过断层</w:t>
      </w:r>
      <w:r>
        <w:rPr>
          <w:rFonts w:hint="eastAsia" w:ascii="宋体" w:hAnsi="宋体" w:eastAsia="宋体" w:cs="宋体"/>
          <w:color w:val="auto"/>
          <w:sz w:val="24"/>
        </w:rPr>
        <w:t>井漏处理措施</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rPr>
        <w:t>一旦发生井漏，根据漏失情况，首先采用不同比例和不同浓度的桥堵浆，对漏层及时进行桥塞封堵。若非储层段桥浆堵漏承压效果不佳时，采用无需粒径匹配的可固化堵漏技术进行堵漏作业，若仍然达不到要求，打水泥堵漏。</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bCs/>
          <w:color w:val="auto"/>
          <w:sz w:val="24"/>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1</w:t>
      </w:r>
      <w:r>
        <w:rPr>
          <w:rFonts w:hint="eastAsia" w:ascii="宋体" w:hAnsi="宋体" w:eastAsia="宋体" w:cs="宋体"/>
          <w:color w:val="auto"/>
          <w:sz w:val="24"/>
          <w:lang w:eastAsia="zh-CN"/>
        </w:rPr>
        <w:t>）</w:t>
      </w:r>
      <w:r>
        <w:rPr>
          <w:rFonts w:hint="eastAsia" w:ascii="宋体" w:hAnsi="宋体" w:eastAsia="宋体" w:cs="宋体"/>
          <w:bCs/>
          <w:color w:val="auto"/>
          <w:sz w:val="24"/>
        </w:rPr>
        <w:t>如漏失量≤5m</w:t>
      </w:r>
      <w:r>
        <w:rPr>
          <w:rFonts w:hint="eastAsia" w:ascii="宋体" w:hAnsi="宋体" w:eastAsia="宋体" w:cs="宋体"/>
          <w:bCs/>
          <w:color w:val="auto"/>
          <w:sz w:val="24"/>
          <w:vertAlign w:val="superscript"/>
        </w:rPr>
        <w:t>3</w:t>
      </w:r>
      <w:r>
        <w:rPr>
          <w:rFonts w:hint="eastAsia" w:ascii="宋体" w:hAnsi="宋体" w:eastAsia="宋体" w:cs="宋体"/>
          <w:bCs/>
          <w:color w:val="auto"/>
          <w:sz w:val="24"/>
        </w:rPr>
        <w:t>/h，堵漏方法可采取提高泥浆粘度、加入单封等随钻堵漏，或采取起钻静止堵漏。</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2</w:t>
      </w:r>
      <w:r>
        <w:rPr>
          <w:rFonts w:hint="eastAsia" w:ascii="宋体" w:hAnsi="宋体" w:eastAsia="宋体" w:cs="宋体"/>
          <w:color w:val="auto"/>
          <w:sz w:val="24"/>
          <w:lang w:eastAsia="zh-CN"/>
        </w:rPr>
        <w:t>）</w:t>
      </w:r>
      <w:r>
        <w:rPr>
          <w:rFonts w:hint="eastAsia" w:ascii="宋体" w:hAnsi="宋体" w:eastAsia="宋体" w:cs="宋体"/>
          <w:bCs/>
          <w:color w:val="auto"/>
          <w:sz w:val="24"/>
        </w:rPr>
        <w:t>如漏失量在5～15m</w:t>
      </w:r>
      <w:r>
        <w:rPr>
          <w:rFonts w:hint="eastAsia" w:ascii="宋体" w:hAnsi="宋体" w:eastAsia="宋体" w:cs="宋体"/>
          <w:bCs/>
          <w:color w:val="auto"/>
          <w:sz w:val="24"/>
          <w:vertAlign w:val="superscript"/>
        </w:rPr>
        <w:t>3</w:t>
      </w:r>
      <w:r>
        <w:rPr>
          <w:rFonts w:hint="eastAsia" w:ascii="宋体" w:hAnsi="宋体" w:eastAsia="宋体" w:cs="宋体"/>
          <w:bCs/>
          <w:color w:val="auto"/>
          <w:sz w:val="24"/>
        </w:rPr>
        <w:t>/h，应及时起钻下光钻杆推荐采用10%～12%堵漏剂浓度的</w:t>
      </w:r>
      <w:r>
        <w:rPr>
          <w:rFonts w:hint="eastAsia" w:ascii="宋体" w:hAnsi="宋体" w:eastAsia="宋体" w:cs="宋体"/>
          <w:color w:val="auto"/>
          <w:sz w:val="24"/>
        </w:rPr>
        <w:t>桥堵浆</w:t>
      </w:r>
      <w:r>
        <w:rPr>
          <w:rFonts w:hint="eastAsia" w:ascii="宋体" w:hAnsi="宋体" w:eastAsia="宋体" w:cs="宋体"/>
          <w:bCs/>
          <w:color w:val="auto"/>
          <w:sz w:val="24"/>
        </w:rPr>
        <w:t>进行泥浆承压堵漏，一次不成功，视堵漏效果，可调整配方反复堵1～2次。</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bCs/>
          <w:color w:val="auto"/>
          <w:sz w:val="24"/>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3</w:t>
      </w:r>
      <w:r>
        <w:rPr>
          <w:rFonts w:hint="eastAsia" w:ascii="宋体" w:hAnsi="宋体" w:eastAsia="宋体" w:cs="宋体"/>
          <w:color w:val="auto"/>
          <w:sz w:val="24"/>
          <w:lang w:eastAsia="zh-CN"/>
        </w:rPr>
        <w:t>）</w:t>
      </w:r>
      <w:r>
        <w:rPr>
          <w:rFonts w:hint="eastAsia" w:ascii="宋体" w:hAnsi="宋体" w:eastAsia="宋体" w:cs="宋体"/>
          <w:bCs/>
          <w:color w:val="auto"/>
          <w:sz w:val="24"/>
        </w:rPr>
        <w:t>如漏失量在15～25m</w:t>
      </w:r>
      <w:r>
        <w:rPr>
          <w:rFonts w:hint="eastAsia" w:ascii="宋体" w:hAnsi="宋体" w:eastAsia="宋体" w:cs="宋体"/>
          <w:bCs/>
          <w:color w:val="auto"/>
          <w:sz w:val="24"/>
          <w:vertAlign w:val="superscript"/>
        </w:rPr>
        <w:t>3</w:t>
      </w:r>
      <w:r>
        <w:rPr>
          <w:rFonts w:hint="eastAsia" w:ascii="宋体" w:hAnsi="宋体" w:eastAsia="宋体" w:cs="宋体"/>
          <w:bCs/>
          <w:color w:val="auto"/>
          <w:sz w:val="24"/>
        </w:rPr>
        <w:t>/h，应及时起钻下光钻杆推荐采用10%～20%堵漏剂浓度的</w:t>
      </w:r>
      <w:r>
        <w:rPr>
          <w:rFonts w:hint="eastAsia" w:ascii="宋体" w:hAnsi="宋体" w:eastAsia="宋体" w:cs="宋体"/>
          <w:color w:val="auto"/>
          <w:sz w:val="24"/>
        </w:rPr>
        <w:t>桥堵浆</w:t>
      </w:r>
      <w:r>
        <w:rPr>
          <w:rFonts w:hint="eastAsia" w:ascii="宋体" w:hAnsi="宋体" w:eastAsia="宋体" w:cs="宋体"/>
          <w:bCs/>
          <w:color w:val="auto"/>
          <w:sz w:val="24"/>
        </w:rPr>
        <w:t>进行泥浆承压堵漏，一次不成功，视堵漏效果，可调整配方反复堵1～2次。</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bCs/>
          <w:color w:val="auto"/>
          <w:sz w:val="24"/>
        </w:rPr>
      </w:pP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4</w:t>
      </w:r>
      <w:r>
        <w:rPr>
          <w:rFonts w:hint="eastAsia" w:ascii="宋体" w:hAnsi="宋体" w:eastAsia="宋体" w:cs="宋体"/>
          <w:color w:val="auto"/>
          <w:sz w:val="24"/>
          <w:lang w:eastAsia="zh-CN"/>
        </w:rPr>
        <w:t>）</w:t>
      </w:r>
      <w:r>
        <w:rPr>
          <w:rFonts w:hint="eastAsia" w:ascii="宋体" w:hAnsi="宋体" w:eastAsia="宋体" w:cs="宋体"/>
          <w:bCs/>
          <w:color w:val="auto"/>
          <w:sz w:val="24"/>
        </w:rPr>
        <w:t>如漏失量≥25m</w:t>
      </w:r>
      <w:r>
        <w:rPr>
          <w:rFonts w:hint="eastAsia" w:ascii="宋体" w:hAnsi="宋体" w:eastAsia="宋体" w:cs="宋体"/>
          <w:bCs/>
          <w:color w:val="auto"/>
          <w:sz w:val="24"/>
          <w:vertAlign w:val="superscript"/>
        </w:rPr>
        <w:t>3</w:t>
      </w:r>
      <w:r>
        <w:rPr>
          <w:rFonts w:hint="eastAsia" w:ascii="宋体" w:hAnsi="宋体" w:eastAsia="宋体" w:cs="宋体"/>
          <w:bCs/>
          <w:color w:val="auto"/>
          <w:sz w:val="24"/>
        </w:rPr>
        <w:t>/h或失返性漏失，应及时起钻下光钻杆推荐采用15%～25%堵漏剂浓度的</w:t>
      </w:r>
      <w:r>
        <w:rPr>
          <w:rFonts w:hint="eastAsia" w:ascii="宋体" w:hAnsi="宋体" w:eastAsia="宋体" w:cs="宋体"/>
          <w:color w:val="auto"/>
          <w:sz w:val="24"/>
        </w:rPr>
        <w:t>桥堵浆</w:t>
      </w:r>
      <w:r>
        <w:rPr>
          <w:rFonts w:hint="eastAsia" w:ascii="宋体" w:hAnsi="宋体" w:eastAsia="宋体" w:cs="宋体"/>
          <w:bCs/>
          <w:color w:val="auto"/>
          <w:sz w:val="24"/>
        </w:rPr>
        <w:t>进行泥浆承压堵漏，一次不成功，视堵漏效果，可调整配方反复堵1～2次。</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bCs/>
          <w:color w:val="auto"/>
          <w:sz w:val="24"/>
        </w:rPr>
      </w:pPr>
      <w:r>
        <w:rPr>
          <w:rFonts w:hint="eastAsia" w:ascii="宋体" w:hAnsi="宋体" w:eastAsia="宋体" w:cs="宋体"/>
          <w:bCs/>
          <w:color w:val="auto"/>
          <w:sz w:val="24"/>
          <w:lang w:eastAsia="zh-CN"/>
        </w:rPr>
        <w:t>（</w:t>
      </w:r>
      <w:r>
        <w:rPr>
          <w:rFonts w:hint="eastAsia" w:ascii="宋体" w:hAnsi="宋体" w:eastAsia="宋体" w:cs="宋体"/>
          <w:bCs/>
          <w:color w:val="auto"/>
          <w:sz w:val="24"/>
          <w:lang w:val="en-US" w:eastAsia="zh-CN"/>
        </w:rPr>
        <w:t>5</w:t>
      </w:r>
      <w:r>
        <w:rPr>
          <w:rFonts w:hint="eastAsia" w:ascii="宋体" w:hAnsi="宋体" w:eastAsia="宋体" w:cs="宋体"/>
          <w:bCs/>
          <w:color w:val="auto"/>
          <w:sz w:val="24"/>
          <w:lang w:eastAsia="zh-CN"/>
        </w:rPr>
        <w:t>）</w:t>
      </w:r>
      <w:r>
        <w:rPr>
          <w:rFonts w:hint="eastAsia" w:ascii="宋体" w:hAnsi="宋体" w:eastAsia="宋体" w:cs="宋体"/>
          <w:color w:val="auto"/>
          <w:sz w:val="24"/>
        </w:rPr>
        <w:t>若桥浆堵漏承压效果不佳时</w:t>
      </w:r>
      <w:r>
        <w:rPr>
          <w:rFonts w:hint="eastAsia" w:ascii="宋体" w:hAnsi="宋体" w:eastAsia="宋体" w:cs="宋体"/>
          <w:bCs/>
          <w:color w:val="auto"/>
          <w:sz w:val="24"/>
        </w:rPr>
        <w:t>，可采用可固化堵漏技术或挤水泥等方法堵漏。</w:t>
      </w:r>
    </w:p>
    <w:p>
      <w:pPr>
        <w:pStyle w:val="13"/>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Cs/>
          <w:color w:val="auto"/>
          <w:sz w:val="24"/>
          <w:szCs w:val="32"/>
        </w:rPr>
      </w:pPr>
      <w:r>
        <w:rPr>
          <w:rFonts w:hint="eastAsia" w:ascii="宋体" w:hAnsi="宋体" w:eastAsia="宋体" w:cs="宋体"/>
          <w:bCs/>
          <w:color w:val="auto"/>
          <w:sz w:val="24"/>
          <w:szCs w:val="32"/>
        </w:rPr>
        <w:t>在钻井过程中遇断层发生井漏后，必须及时采取堵漏措施。可采用随钻堵漏、挤水泥、注桥塞堵漏浆或注桥塞堵漏浆加挤水泥堵漏方法，制定针对性的堵漏方案。施工时，优选新型堵漏材料和堵漏新工艺应对不同类型漏失，堵漏泥浆严格按照技术要求配制，以确保堵漏成功。</w:t>
      </w:r>
    </w:p>
    <w:p>
      <w:pPr>
        <w:pStyle w:val="13"/>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Cs/>
          <w:color w:val="auto"/>
          <w:sz w:val="24"/>
          <w:szCs w:val="32"/>
        </w:rPr>
      </w:pPr>
      <w:r>
        <w:rPr>
          <w:rFonts w:hint="eastAsia" w:ascii="宋体" w:hAnsi="宋体" w:eastAsia="宋体" w:cs="宋体"/>
          <w:bCs/>
          <w:color w:val="auto"/>
          <w:sz w:val="24"/>
          <w:szCs w:val="32"/>
        </w:rPr>
        <w:t>防漏堵漏可采用工程措施防漏和用加有堵漏剂的高粘白土浆堵漏。大漏失采用低固相聚合物钻井液加混合堵漏剂的方法。钻进中发生漏失后按漏失程度进行堵漏作业：</w:t>
      </w:r>
    </w:p>
    <w:p>
      <w:pPr>
        <w:pStyle w:val="62"/>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contextualSpacing w:val="0"/>
        <w:jc w:val="both"/>
        <w:textAlignment w:val="auto"/>
        <w:rPr>
          <w:rFonts w:hint="eastAsia" w:ascii="宋体" w:hAnsi="宋体" w:eastAsia="宋体" w:cs="宋体"/>
          <w:bCs/>
          <w:color w:val="auto"/>
          <w:sz w:val="24"/>
          <w:szCs w:val="32"/>
        </w:rPr>
      </w:pPr>
      <w:r>
        <w:rPr>
          <w:rFonts w:hint="eastAsia" w:ascii="宋体" w:hAnsi="宋体" w:eastAsia="宋体" w:cs="宋体"/>
          <w:bCs/>
          <w:color w:val="auto"/>
          <w:sz w:val="24"/>
          <w:szCs w:val="32"/>
        </w:rPr>
        <w:t>渗透性漏失：采取提高泥浆粘度、加入单封等暂堵剂；</w:t>
      </w:r>
    </w:p>
    <w:p>
      <w:pPr>
        <w:pStyle w:val="62"/>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contextualSpacing w:val="0"/>
        <w:jc w:val="both"/>
        <w:textAlignment w:val="auto"/>
        <w:rPr>
          <w:rFonts w:hint="eastAsia" w:ascii="宋体" w:hAnsi="宋体" w:eastAsia="宋体" w:cs="宋体"/>
          <w:bCs/>
          <w:color w:val="auto"/>
          <w:sz w:val="24"/>
          <w:szCs w:val="32"/>
        </w:rPr>
      </w:pPr>
      <w:r>
        <w:rPr>
          <w:rFonts w:hint="eastAsia" w:ascii="宋体" w:hAnsi="宋体" w:eastAsia="宋体" w:cs="宋体"/>
          <w:bCs/>
          <w:color w:val="auto"/>
          <w:sz w:val="24"/>
          <w:szCs w:val="32"/>
        </w:rPr>
        <w:t>较大型漏失：采用打水泥或进行泥浆承压堵漏，可适当加入凝胶；</w:t>
      </w:r>
    </w:p>
    <w:p>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宋体" w:hAnsi="宋体" w:eastAsia="宋体" w:cs="宋体"/>
          <w:bCs/>
          <w:color w:val="auto"/>
          <w:sz w:val="24"/>
        </w:rPr>
      </w:pPr>
      <w:r>
        <w:rPr>
          <w:rFonts w:hint="eastAsia" w:ascii="宋体" w:hAnsi="宋体" w:eastAsia="宋体" w:cs="宋体"/>
          <w:bCs/>
          <w:color w:val="auto"/>
          <w:sz w:val="24"/>
          <w:szCs w:val="32"/>
        </w:rPr>
        <w:t>大型漏失或失返性漏失：采用下光钻杆注桥塞堵漏浆或桥塞堵漏浆加挤水泥堵漏方法</w:t>
      </w:r>
      <w:r>
        <w:rPr>
          <w:rFonts w:hint="eastAsia" w:ascii="宋体" w:hAnsi="宋体" w:eastAsia="宋体" w:cs="宋体"/>
          <w:bCs/>
          <w:color w:val="auto"/>
          <w:sz w:val="24"/>
        </w:rPr>
        <w:t>。</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default"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八、压裂井施工后井下防水措施</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（一）严格执行物探先行原则</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b w:val="0"/>
          <w:bCs w:val="0"/>
          <w:color w:val="auto"/>
          <w:kern w:val="2"/>
          <w:sz w:val="24"/>
          <w:szCs w:val="24"/>
          <w:shd w:val="clear" w:color="auto" w:fill="auto"/>
          <w:lang w:val="en-US" w:eastAsia="zh-CN" w:bidi="ar-SA"/>
        </w:rPr>
        <w:t>压裂影响区巷道掘进与回采作业前，必须采用先进物探技术对压裂层位进行三维水文扫描，依据探测数据精准实施</w:t>
      </w:r>
      <w:r>
        <w:rPr>
          <w:rFonts w:hint="eastAsia" w:ascii="宋体" w:hAnsi="宋体" w:eastAsia="宋体" w:cs="宋体"/>
          <w:color w:val="auto"/>
          <w:sz w:val="24"/>
          <w:szCs w:val="24"/>
          <w:lang w:val="en-US" w:eastAsia="zh-CN"/>
        </w:rPr>
        <w:t>探放水钻井施工，超前释放潜在水患。</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（二）保障疏水系统全路径畅通</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color w:val="auto"/>
          <w:sz w:val="24"/>
          <w:szCs w:val="24"/>
          <w:lang w:val="en-US" w:eastAsia="zh-CN"/>
        </w:rPr>
        <w:t>系统排查工作面至中央水仓的排水沟、泄水孔及管路网络，</w:t>
      </w:r>
      <w:r>
        <w:rPr>
          <w:rFonts w:hint="eastAsia" w:ascii="宋体" w:hAnsi="宋体" w:eastAsia="宋体" w:cs="宋体"/>
          <w:b w:val="0"/>
          <w:bCs w:val="0"/>
          <w:color w:val="auto"/>
          <w:kern w:val="2"/>
          <w:sz w:val="24"/>
          <w:szCs w:val="24"/>
          <w:shd w:val="clear" w:color="auto" w:fill="auto"/>
          <w:lang w:val="en-US" w:eastAsia="zh-CN" w:bidi="ar-SA"/>
        </w:rPr>
        <w:t>严禁杂物堆堵影响排水效率。</w:t>
      </w:r>
    </w:p>
    <w:bookmarkEnd w:id="215"/>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cs="宋体"/>
          <w:b w:val="0"/>
          <w:bCs w:val="0"/>
          <w:color w:val="auto"/>
          <w:kern w:val="2"/>
          <w:sz w:val="24"/>
          <w:szCs w:val="24"/>
          <w:shd w:val="clear" w:color="auto" w:fill="auto"/>
          <w:lang w:val="en-US" w:eastAsia="zh-CN" w:bidi="ar-SA"/>
        </w:rPr>
      </w:pPr>
      <w:r>
        <w:rPr>
          <w:rFonts w:hint="eastAsia" w:ascii="宋体" w:hAnsi="宋体" w:cs="宋体"/>
          <w:b w:val="0"/>
          <w:bCs w:val="0"/>
          <w:color w:val="auto"/>
          <w:kern w:val="2"/>
          <w:sz w:val="24"/>
          <w:szCs w:val="24"/>
          <w:shd w:val="clear" w:color="auto" w:fill="auto"/>
          <w:lang w:val="en-US" w:eastAsia="zh-CN" w:bidi="ar-SA"/>
        </w:rPr>
        <w:t>（三）优化水仓调蓄能力管理</w:t>
      </w:r>
    </w:p>
    <w:p>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eastAsia" w:ascii="宋体" w:hAnsi="宋体" w:cs="宋体"/>
          <w:b w:val="0"/>
          <w:bCs w:val="0"/>
          <w:color w:val="auto"/>
          <w:kern w:val="2"/>
          <w:sz w:val="24"/>
          <w:szCs w:val="24"/>
          <w:shd w:val="clear" w:color="auto" w:fill="auto"/>
          <w:lang w:val="en-US" w:eastAsia="zh-CN" w:bidi="ar-SA"/>
        </w:rPr>
      </w:pPr>
      <w:r>
        <w:rPr>
          <w:rFonts w:hint="eastAsia" w:ascii="宋体" w:hAnsi="宋体" w:cs="宋体"/>
          <w:b w:val="0"/>
          <w:bCs w:val="0"/>
          <w:color w:val="auto"/>
          <w:kern w:val="2"/>
          <w:sz w:val="24"/>
          <w:szCs w:val="24"/>
          <w:shd w:val="clear" w:color="auto" w:fill="auto"/>
          <w:lang w:val="en-US" w:eastAsia="zh-CN" w:bidi="ar-SA"/>
        </w:rPr>
        <w:t>制定水仓分级清淤标准，配套安装液位联动报警装置，确保水仓有效容积始终高于矿区最大单日涌水量预测值的1.5倍。</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default"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九、报废处理</w:t>
      </w:r>
      <w:bookmarkEnd w:id="190"/>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0" w:firstLineChars="200"/>
        <w:textAlignment w:val="auto"/>
        <w:rPr>
          <w:rFonts w:hint="default"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地面直井出现下述情况时宜进行报废处理</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1.地面直井被切断或堵塞，无法继续</w:t>
      </w:r>
      <w:r>
        <w:rPr>
          <w:rFonts w:hint="eastAsia" w:ascii="宋体" w:hAnsi="宋体" w:cs="宋体"/>
          <w:b w:val="0"/>
          <w:bCs w:val="0"/>
          <w:color w:val="auto"/>
          <w:kern w:val="2"/>
          <w:sz w:val="24"/>
          <w:szCs w:val="24"/>
          <w:shd w:val="clear" w:color="auto" w:fill="auto"/>
          <w:lang w:val="en-US" w:eastAsia="zh-CN" w:bidi="ar-SA"/>
        </w:rPr>
        <w:t>施工</w:t>
      </w:r>
      <w:r>
        <w:rPr>
          <w:rFonts w:hint="eastAsia" w:ascii="宋体" w:hAnsi="宋体" w:eastAsia="宋体" w:cs="宋体"/>
          <w:b w:val="0"/>
          <w:bCs w:val="0"/>
          <w:color w:val="auto"/>
          <w:kern w:val="2"/>
          <w:sz w:val="24"/>
          <w:szCs w:val="24"/>
          <w:shd w:val="clear" w:color="auto" w:fill="auto"/>
          <w:lang w:val="en-US" w:eastAsia="zh-CN" w:bidi="ar-SA"/>
        </w:rPr>
        <w:t>；</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2.地面直井</w:t>
      </w:r>
      <w:r>
        <w:rPr>
          <w:rFonts w:hint="eastAsia" w:ascii="宋体" w:hAnsi="宋体" w:cs="宋体"/>
          <w:b w:val="0"/>
          <w:bCs w:val="0"/>
          <w:color w:val="auto"/>
          <w:kern w:val="2"/>
          <w:sz w:val="24"/>
          <w:szCs w:val="24"/>
          <w:shd w:val="clear" w:color="auto" w:fill="auto"/>
          <w:lang w:val="en-US" w:eastAsia="zh-CN" w:bidi="ar-SA"/>
        </w:rPr>
        <w:t>出现涌水或与采空区打透</w:t>
      </w:r>
      <w:r>
        <w:rPr>
          <w:rFonts w:hint="eastAsia" w:ascii="宋体" w:hAnsi="宋体" w:eastAsia="宋体" w:cs="宋体"/>
          <w:b w:val="0"/>
          <w:bCs w:val="0"/>
          <w:color w:val="auto"/>
          <w:kern w:val="2"/>
          <w:sz w:val="24"/>
          <w:szCs w:val="24"/>
          <w:shd w:val="clear" w:color="auto" w:fill="auto"/>
          <w:lang w:val="en-US" w:eastAsia="zh-CN" w:bidi="ar-SA"/>
        </w:rPr>
        <w:t>能够抽采，无法继续</w:t>
      </w:r>
      <w:r>
        <w:rPr>
          <w:rFonts w:hint="eastAsia" w:ascii="宋体" w:hAnsi="宋体" w:cs="宋体"/>
          <w:b w:val="0"/>
          <w:bCs w:val="0"/>
          <w:color w:val="auto"/>
          <w:kern w:val="2"/>
          <w:sz w:val="24"/>
          <w:szCs w:val="24"/>
          <w:shd w:val="clear" w:color="auto" w:fill="auto"/>
          <w:lang w:val="en-US" w:eastAsia="zh-CN" w:bidi="ar-SA"/>
        </w:rPr>
        <w:t>施工</w:t>
      </w:r>
      <w:r>
        <w:rPr>
          <w:rFonts w:hint="eastAsia" w:ascii="宋体" w:hAnsi="宋体" w:eastAsia="宋体" w:cs="宋体"/>
          <w:b w:val="0"/>
          <w:bCs w:val="0"/>
          <w:color w:val="auto"/>
          <w:kern w:val="2"/>
          <w:sz w:val="24"/>
          <w:szCs w:val="24"/>
          <w:shd w:val="clear" w:color="auto" w:fill="auto"/>
          <w:lang w:val="en-US" w:eastAsia="zh-CN" w:bidi="ar-SA"/>
        </w:rPr>
        <w:t>。</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十、完井井口装置</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sectPr>
          <w:pgSz w:w="11906" w:h="16838"/>
          <w:pgMar w:top="1417" w:right="1417" w:bottom="1417" w:left="1417" w:header="851" w:footer="850"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eastAsia="宋体" w:cs="宋体"/>
          <w:b w:val="0"/>
          <w:bCs w:val="0"/>
          <w:color w:val="auto"/>
          <w:kern w:val="2"/>
          <w:sz w:val="24"/>
          <w:szCs w:val="24"/>
          <w:shd w:val="clear" w:color="auto" w:fill="auto"/>
          <w:lang w:val="en-US" w:eastAsia="zh-CN" w:bidi="ar-SA"/>
        </w:rPr>
        <w:t>完井井口装置必须符合设计要求，井口套管接箍顶部必须保持水平，完井井口生产套管出地高0.2m。完井后及时戴上套管帽，标注井号并点焊牢靠。</w:t>
      </w:r>
    </w:p>
    <w:p>
      <w:pPr>
        <w:pStyle w:val="3"/>
        <w:spacing w:before="120" w:after="120" w:line="560" w:lineRule="exact"/>
        <w:ind w:firstLine="200"/>
        <w:jc w:val="center"/>
        <w:rPr>
          <w:rFonts w:hint="eastAsia" w:ascii="黑体" w:eastAsia="黑体"/>
          <w:b/>
          <w:bCs/>
          <w:color w:val="auto"/>
          <w:sz w:val="30"/>
          <w:szCs w:val="30"/>
          <w:lang w:val="en-US" w:eastAsia="zh-CN"/>
        </w:rPr>
      </w:pPr>
      <w:bookmarkStart w:id="216" w:name="_Toc7861"/>
      <w:r>
        <w:rPr>
          <w:rFonts w:hint="eastAsia" w:ascii="黑体" w:eastAsia="黑体"/>
          <w:b/>
          <w:bCs/>
          <w:color w:val="auto"/>
          <w:sz w:val="30"/>
          <w:szCs w:val="30"/>
          <w:lang w:val="en-US" w:eastAsia="zh-CN"/>
        </w:rPr>
        <w:t>第四章  施工工期</w:t>
      </w:r>
      <w:bookmarkEnd w:id="216"/>
    </w:p>
    <w:p>
      <w:pPr>
        <w:pageBreakBefore w:val="0"/>
        <w:widowControl w:val="0"/>
        <w:kinsoku/>
        <w:wordWrap/>
        <w:overflowPunct/>
        <w:topLinePunct w:val="0"/>
        <w:autoSpaceDE/>
        <w:autoSpaceDN/>
        <w:bidi w:val="0"/>
        <w:adjustRightInd/>
        <w:snapToGrid/>
        <w:spacing w:line="480" w:lineRule="exact"/>
        <w:ind w:firstLine="48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钻井自开钻之日起</w:t>
      </w:r>
      <w:r>
        <w:rPr>
          <w:rFonts w:hint="eastAsia" w:ascii="宋体" w:hAnsi="宋体" w:cs="宋体"/>
          <w:color w:val="auto"/>
          <w:sz w:val="24"/>
          <w:szCs w:val="24"/>
          <w:lang w:val="en-US" w:eastAsia="zh-CN"/>
        </w:rPr>
        <w:t>80</w:t>
      </w:r>
      <w:r>
        <w:rPr>
          <w:rFonts w:hint="eastAsia" w:ascii="宋体" w:hAnsi="宋体" w:eastAsia="宋体" w:cs="宋体"/>
          <w:color w:val="auto"/>
          <w:sz w:val="24"/>
          <w:szCs w:val="24"/>
        </w:rPr>
        <w:t>天完成野外施工任务</w:t>
      </w:r>
      <w:r>
        <w:rPr>
          <w:rFonts w:hint="eastAsia" w:ascii="宋体" w:hAnsi="宋体" w:cs="宋体"/>
          <w:color w:val="auto"/>
          <w:sz w:val="24"/>
          <w:szCs w:val="24"/>
          <w:lang w:eastAsia="zh-CN"/>
        </w:rPr>
        <w:t>，</w:t>
      </w:r>
      <w:r>
        <w:rPr>
          <w:rFonts w:hint="eastAsia" w:ascii="宋体" w:hAnsi="宋体" w:eastAsia="宋体" w:cs="宋体"/>
          <w:color w:val="auto"/>
          <w:sz w:val="24"/>
          <w:szCs w:val="24"/>
        </w:rPr>
        <w:t>具体工期安排见下</w:t>
      </w:r>
      <w:r>
        <w:rPr>
          <w:rFonts w:hint="eastAsia" w:ascii="宋体" w:hAnsi="宋体" w:cs="宋体"/>
          <w:color w:val="auto"/>
          <w:sz w:val="24"/>
          <w:szCs w:val="24"/>
          <w:lang w:val="en-US" w:eastAsia="zh-CN"/>
        </w:rPr>
        <w:t>表</w:t>
      </w:r>
      <w:r>
        <w:rPr>
          <w:rFonts w:hint="eastAsia" w:ascii="宋体" w:hAnsi="宋体" w:eastAsia="宋体" w:cs="宋体"/>
          <w:color w:val="auto"/>
          <w:sz w:val="24"/>
          <w:szCs w:val="24"/>
        </w:rPr>
        <w:t>。</w:t>
      </w:r>
    </w:p>
    <w:p>
      <w:pPr>
        <w:pageBreakBefore w:val="0"/>
        <w:widowControl w:val="0"/>
        <w:kinsoku/>
        <w:wordWrap/>
        <w:overflowPunct/>
        <w:topLinePunct w:val="0"/>
        <w:autoSpaceDE/>
        <w:autoSpaceDN/>
        <w:bidi w:val="0"/>
        <w:adjustRightInd/>
        <w:snapToGrid/>
        <w:spacing w:line="480" w:lineRule="exact"/>
        <w:ind w:firstLine="480"/>
        <w:textAlignment w:val="auto"/>
        <w:rPr>
          <w:rFonts w:hint="eastAsia" w:ascii="楷体_GB2312" w:hAnsi="楷体_GB2312" w:eastAsia="楷体_GB2312" w:cs="楷体_GB2312"/>
          <w:b/>
          <w:bCs/>
          <w:color w:val="auto"/>
          <w:kern w:val="2"/>
          <w:sz w:val="24"/>
          <w:szCs w:val="24"/>
          <w:lang w:val="en-US" w:eastAsia="zh-CN" w:bidi="ar-SA"/>
        </w:rPr>
      </w:pPr>
      <w:r>
        <w:rPr>
          <w:color w:val="auto"/>
        </w:rPr>
        <w:drawing>
          <wp:anchor distT="0" distB="0" distL="114300" distR="114300" simplePos="0" relativeHeight="251662336" behindDoc="0" locked="0" layoutInCell="1" allowOverlap="1">
            <wp:simplePos x="0" y="0"/>
            <wp:positionH relativeFrom="column">
              <wp:posOffset>-76835</wp:posOffset>
            </wp:positionH>
            <wp:positionV relativeFrom="paragraph">
              <wp:posOffset>280035</wp:posOffset>
            </wp:positionV>
            <wp:extent cx="5995035" cy="2214245"/>
            <wp:effectExtent l="0" t="0" r="5715" b="14605"/>
            <wp:wrapNone/>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31"/>
                    <a:stretch>
                      <a:fillRect/>
                    </a:stretch>
                  </pic:blipFill>
                  <pic:spPr>
                    <a:xfrm>
                      <a:off x="0" y="0"/>
                      <a:ext cx="5995035" cy="2214245"/>
                    </a:xfrm>
                    <a:prstGeom prst="rect">
                      <a:avLst/>
                    </a:prstGeom>
                    <a:noFill/>
                    <a:ln>
                      <a:noFill/>
                    </a:ln>
                  </pic:spPr>
                </pic:pic>
              </a:graphicData>
            </a:graphic>
          </wp:anchor>
        </w:drawing>
      </w:r>
      <w:r>
        <w:rPr>
          <w:rFonts w:hint="eastAsia" w:ascii="楷体_GB2312" w:hAnsi="楷体_GB2312" w:eastAsia="楷体_GB2312" w:cs="楷体_GB2312"/>
          <w:b/>
          <w:bCs/>
          <w:color w:val="auto"/>
          <w:kern w:val="2"/>
          <w:sz w:val="24"/>
          <w:szCs w:val="24"/>
          <w:lang w:val="en-US" w:eastAsia="zh-CN" w:bidi="ar-SA"/>
        </w:rPr>
        <w:t>表4-1-1                地面压裂井施工周期进度表</w:t>
      </w: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pStyle w:val="55"/>
        <w:keepNext w:val="0"/>
        <w:keepLines w:val="0"/>
        <w:pageBreakBefore w:val="0"/>
        <w:widowControl w:val="0"/>
        <w:kinsoku/>
        <w:wordWrap/>
        <w:overflowPunct/>
        <w:topLinePunct w:val="0"/>
        <w:autoSpaceDE/>
        <w:autoSpaceDN/>
        <w:bidi w:val="0"/>
        <w:adjustRightInd/>
        <w:snapToGrid/>
        <w:spacing w:line="320" w:lineRule="exact"/>
        <w:ind w:firstLine="2409" w:firstLineChars="1000"/>
        <w:jc w:val="both"/>
        <w:textAlignment w:val="auto"/>
        <w:rPr>
          <w:rFonts w:hint="eastAsia" w:ascii="楷体_GB2312" w:hAnsi="楷体_GB2312" w:eastAsia="楷体_GB2312" w:cs="楷体_GB2312"/>
          <w:b/>
          <w:bCs/>
          <w:color w:val="auto"/>
          <w:kern w:val="2"/>
          <w:sz w:val="24"/>
          <w:szCs w:val="24"/>
          <w:lang w:val="en-US" w:eastAsia="zh-CN" w:bidi="ar-SA"/>
        </w:rPr>
      </w:pPr>
    </w:p>
    <w:p>
      <w:pPr>
        <w:jc w:val="center"/>
        <w:rPr>
          <w:rFonts w:hint="eastAsia" w:ascii="黑体" w:eastAsia="黑体"/>
          <w:b/>
          <w:bCs/>
          <w:color w:val="auto"/>
          <w:sz w:val="30"/>
          <w:szCs w:val="30"/>
        </w:rPr>
      </w:pPr>
      <w:r>
        <w:rPr>
          <w:rFonts w:hint="eastAsia" w:ascii="黑体" w:eastAsia="黑体"/>
          <w:b/>
          <w:bCs/>
          <w:color w:val="auto"/>
          <w:sz w:val="30"/>
          <w:szCs w:val="30"/>
        </w:rPr>
        <w:br w:type="page"/>
      </w:r>
    </w:p>
    <w:p>
      <w:pPr>
        <w:pStyle w:val="3"/>
        <w:spacing w:before="120" w:after="120" w:line="560" w:lineRule="exact"/>
        <w:ind w:firstLine="200"/>
        <w:jc w:val="center"/>
        <w:rPr>
          <w:rFonts w:hint="default" w:ascii="黑体" w:eastAsia="黑体"/>
          <w:b/>
          <w:bCs/>
          <w:color w:val="auto"/>
          <w:sz w:val="30"/>
          <w:szCs w:val="30"/>
          <w:lang w:val="en-US" w:eastAsia="zh-CN"/>
        </w:rPr>
      </w:pPr>
      <w:bookmarkStart w:id="217" w:name="_Toc4991"/>
      <w:r>
        <w:rPr>
          <w:rFonts w:hint="eastAsia" w:ascii="黑体" w:eastAsia="黑体"/>
          <w:b/>
          <w:bCs/>
          <w:color w:val="auto"/>
          <w:sz w:val="30"/>
          <w:szCs w:val="30"/>
        </w:rPr>
        <w:t>第</w:t>
      </w:r>
      <w:r>
        <w:rPr>
          <w:rFonts w:hint="eastAsia" w:ascii="黑体" w:eastAsia="黑体"/>
          <w:b/>
          <w:bCs/>
          <w:color w:val="auto"/>
          <w:sz w:val="30"/>
          <w:szCs w:val="30"/>
          <w:lang w:val="en-US" w:eastAsia="zh-CN"/>
        </w:rPr>
        <w:t>五</w:t>
      </w:r>
      <w:r>
        <w:rPr>
          <w:rFonts w:hint="eastAsia" w:ascii="黑体" w:eastAsia="黑体"/>
          <w:b/>
          <w:bCs/>
          <w:color w:val="auto"/>
          <w:sz w:val="30"/>
          <w:szCs w:val="30"/>
        </w:rPr>
        <w:t>章</w:t>
      </w:r>
      <w:r>
        <w:rPr>
          <w:rFonts w:hint="eastAsia" w:ascii="黑体" w:eastAsia="黑体"/>
          <w:b/>
          <w:bCs/>
          <w:color w:val="auto"/>
          <w:sz w:val="30"/>
          <w:szCs w:val="30"/>
          <w:lang w:val="en-US" w:eastAsia="zh-CN"/>
        </w:rPr>
        <w:t xml:space="preserve">  投资概算</w:t>
      </w:r>
      <w:bookmarkEnd w:id="186"/>
      <w:bookmarkEnd w:id="187"/>
      <w:bookmarkEnd w:id="188"/>
      <w:bookmarkEnd w:id="189"/>
      <w:bookmarkEnd w:id="217"/>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一、投资范围</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投资范围包括甘肃靖煤能源有限公司红会第一煤矿分公司地面压裂井设计所需要的井巷工程、工程建设其</w:t>
      </w:r>
      <w:r>
        <w:rPr>
          <w:rFonts w:hint="eastAsia" w:ascii="宋体" w:hAnsi="宋体" w:cs="宋体"/>
          <w:b w:val="0"/>
          <w:bCs w:val="0"/>
          <w:color w:val="auto"/>
          <w:kern w:val="2"/>
          <w:sz w:val="24"/>
          <w:szCs w:val="24"/>
          <w:shd w:val="clear" w:color="auto" w:fill="auto"/>
          <w:lang w:val="en-US" w:eastAsia="zh-CN" w:bidi="ar-SA"/>
        </w:rPr>
        <w:t>他</w:t>
      </w:r>
      <w:r>
        <w:rPr>
          <w:rFonts w:hint="eastAsia" w:ascii="宋体" w:hAnsi="宋体" w:eastAsia="宋体" w:cs="宋体"/>
          <w:b w:val="0"/>
          <w:bCs w:val="0"/>
          <w:color w:val="auto"/>
          <w:kern w:val="2"/>
          <w:sz w:val="24"/>
          <w:szCs w:val="24"/>
          <w:shd w:val="clear" w:color="auto" w:fill="auto"/>
          <w:lang w:val="en-US" w:eastAsia="zh-CN" w:bidi="ar-SA"/>
        </w:rPr>
        <w:t>费、工程预备费等费用。</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二、编制依据</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1.工程量</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依据本项目设计说明书及主要机电设备与器材清册。</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2.概算指标</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（1）井巷工程：执行《煤炭建设井巷工程直接费概算定额》（NB/T 51073-2017）（国家能源局公告〔2017〕8号）；《煤炭建设井巷工程辅助费概算定额》（NB/T 51074-2017）（国家能源局公告〔2017〕8号）；</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（2）工程建设其他费用：执行《煤炭建设其他费用规定（2015）》（NB/T 51064-2016）（国家能源局2016年第6号）。</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3.价格依据</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（1）设备价格：主要采用厂家询价，部分参考《机电设备报价手册》《煤炭工业常用设备价格汇编》(1999年版) 的设备价格并调至2025年价格水平；</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（2）材料价格：执行白银市地区现行材料指导价，不足部分采用市场询价及《煤炭工业安装工程定额外材料预算价格》并调至2025年价格水平；</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3）地区价差调整：参考煤炭工业西安工程造价管理站对临近煤矿“景泰煤业有限公司”地区价差综合调整系数的批复《关于白岩子矿井及选煤厂项目初步设计概算规费及地区价差综合调整系数的批复》（煤西价字〔2019〕149号），并按近年来工业品上涨指数调整至基准年2025年；</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（4）人工费调整：执行《关于调整煤炭建设工程计价标准（2015基价）人工单价及有关规定的通知》（中煤建协字〔2021〕第125号）。</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4.取费标准</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1）综合费率：执行国家能源局公告〔2016〕第6号文颁发的《煤炭建设工程费用定额》(2015)，中煤建协字〔2016〕第116号文颁发的《煤炭建设工程造价计价标准实施补充规定》，中煤建协字〔2020〕第84号文颁发的《关于煤炭建设工程防治扬尘污染费用等计取规定的通知》，中煤建协字〔2021〕第125号文颁发的《关于调整煤炭建设工程造价计价标准（2015 基价）人工单价及有关规定的通知》，中煤建协字〔2023〕第73号文颁发的《关于调整煤炭建设工程计价标准（2015）安全施工费费率的通知》，项目属于一类地区；</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（2）规费：执行煤西价字〔2024〕第36号文批复的《关于“煤炭建设工程社会保险费等规费计取规定的批复”的通知》，规费综合费率为31.38％；</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（3）增值税税率：执行《关于重新调整煤炭建设工程计价依据增值税税率的通知》（中煤协字〔2019〕37号文），按9%计取。</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5.工程预备费</w:t>
      </w:r>
    </w:p>
    <w:p>
      <w:pPr>
        <w:pStyle w:val="8"/>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执行国家能源局2016年第6号公告颁发的《煤炭建设工程费用定额及造价管理有关规定(2015)》，按4%计取。</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 xml:space="preserve">三、资金筹措 </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本项目所需资金全部由企业自筹。</w:t>
      </w:r>
    </w:p>
    <w:p>
      <w:pPr>
        <w:pStyle w:val="23"/>
        <w:keepNext w:val="0"/>
        <w:keepLines w:val="0"/>
        <w:pageBreakBefore w:val="0"/>
        <w:widowControl w:val="0"/>
        <w:kinsoku/>
        <w:wordWrap/>
        <w:overflowPunct/>
        <w:topLinePunct w:val="0"/>
        <w:autoSpaceDE/>
        <w:autoSpaceDN/>
        <w:bidi w:val="0"/>
        <w:adjustRightInd/>
        <w:snapToGrid/>
        <w:spacing w:after="0" w:line="600" w:lineRule="exact"/>
        <w:ind w:firstLine="482" w:firstLineChars="200"/>
        <w:textAlignment w:val="auto"/>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四、投资构成</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both"/>
        <w:textAlignment w:val="auto"/>
        <w:rPr>
          <w:rFonts w:hint="eastAsia" w:ascii="宋体" w:hAnsi="宋体" w:eastAsia="宋体" w:cs="宋体"/>
          <w:b w:val="0"/>
          <w:bCs w:val="0"/>
          <w:color w:val="auto"/>
          <w:kern w:val="2"/>
          <w:sz w:val="24"/>
          <w:szCs w:val="24"/>
          <w:shd w:val="clear" w:color="auto" w:fill="auto"/>
          <w:lang w:val="en-US" w:eastAsia="zh-CN" w:bidi="ar-SA"/>
        </w:rPr>
      </w:pPr>
      <w:r>
        <w:rPr>
          <w:rFonts w:hint="eastAsia" w:ascii="宋体" w:hAnsi="宋体" w:eastAsia="宋体" w:cs="宋体"/>
          <w:b w:val="0"/>
          <w:bCs w:val="0"/>
          <w:color w:val="auto"/>
          <w:kern w:val="2"/>
          <w:sz w:val="24"/>
          <w:szCs w:val="24"/>
          <w:shd w:val="clear" w:color="auto" w:fill="auto"/>
          <w:lang w:val="en-US" w:eastAsia="zh-CN" w:bidi="ar-SA"/>
        </w:rPr>
        <w:t>项目总投资为1599.08万元。（其中：工程费用为1398.24万元；工程建设其他费用139.33；工程预备费61.50万元）。</w:t>
      </w:r>
    </w:p>
    <w:sectPr>
      <w:pgSz w:w="11906" w:h="16838"/>
      <w:pgMar w:top="1417" w:right="1417" w:bottom="1440" w:left="1417" w:header="851" w:footer="850"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46"/>
    <w:family w:val="roman"/>
    <w:pitch w:val="default"/>
    <w:sig w:usb0="E0002EFF" w:usb1="C000785B" w:usb2="00000009" w:usb3="00000000" w:csb0="400001FF" w:csb1="FFFF0000"/>
  </w:font>
  <w:font w:name="宋体">
    <w:panose1 w:val="02010600030101010101"/>
    <w:charset w:val="80"/>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Segoe UI">
    <w:panose1 w:val="020B0502040204020203"/>
    <w:charset w:val="00"/>
    <w:family w:val="auto"/>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top w:val="single" w:color="auto" w:sz="4" w:space="0"/>
      </w:pBdr>
      <w:jc w:val="center"/>
    </w:pPr>
    <w:r>
      <w:rPr>
        <w:rFonts w:hint="eastAsia" w:ascii="楷体_GB2312" w:hAnsi="楷体_GB2312" w:eastAsia="楷体_GB2312" w:cs="楷体_GB2312"/>
        <w:kern w:val="2"/>
        <w:sz w:val="21"/>
        <w:szCs w:val="21"/>
        <w:lang w:val="en-US" w:eastAsia="zh-CN" w:bidi="ar-SA"/>
      </w:rPr>
      <w:t>靖远煤业工程勘察设计有限公司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top w:val="single" w:color="auto" w:sz="4" w:space="0"/>
      </w:pBdr>
      <w:jc w:val="center"/>
    </w:pPr>
    <w:r>
      <w:rPr>
        <w:sz w:val="21"/>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tdHoS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ppRoprCjy9cvl28/Lt8/E+gAUGv9An47C8/QvTYdnEe9hzLO3VVO&#10;xRsTEdgB9fkKr+gC4TFoPpvPc5g4bOMD+bOncOt8eCOMIlEoqMP+EqzstPWhdx1dYjVtNo2UaYdS&#10;k7agNy9f5SngakFyqVEjDtE3G6XQ7bthsr0pzxjMmZ4b3vJNg+Jb5sMjcyADGgbBwwOOShoUMYNE&#10;SW3cp7/poz92BCslLchVUA32UyLfauwu8nAU3CjsR0Ef1Z0BW7EO9JJEBLggR7FyRn0E69exBkxM&#10;c1QqaBjFu9ATHL+Gi/U6OR2taw51HwDmWRa2emd5LBOB9HZ9DAAzYRwB6lEZcAP30paGfxLJ/es7&#10;eT395t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M9tdHoSAgAAFQQAAA4AAAAAAAAAAQAg&#10;AAAAHwEAAGRycy9lMm9Eb2MueG1sUEsFBgAAAAAGAAYAWQEAAKMFAAAAAA==&#10;">
              <v:fill on="f" focussize="0,0"/>
              <v:stroke on="f" weight="0.5pt"/>
              <v:imagedata o:title=""/>
              <o:lock v:ext="edit" aspectratio="f"/>
              <v:textbox inset="0mm,0mm,0mm,0mm" style="mso-fit-shape-to-text:t;">
                <w:txbxContent>
                  <w:p>
                    <w:pPr>
                      <w:pStyle w:val="1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hint="eastAsia" w:ascii="楷体_GB2312" w:hAnsi="楷体_GB2312" w:eastAsia="楷体_GB2312" w:cs="楷体_GB2312"/>
        <w:kern w:val="2"/>
        <w:sz w:val="21"/>
        <w:szCs w:val="21"/>
        <w:lang w:val="en-US" w:eastAsia="zh-CN" w:bidi="ar-SA"/>
      </w:rPr>
      <w:t>靖远煤业工程勘察设计有限公司</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top w:val="single" w:color="auto" w:sz="4" w:space="0"/>
      </w:pBdr>
      <w:jc w:val="center"/>
    </w:pPr>
    <w:r>
      <w:rPr>
        <w:sz w:val="21"/>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TvZET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ZpRoprCjy9cvl28/Lt8/E+gAUGv9An47C8/QvTYdnEe9hzLO3VVO&#10;xRsTEdgB9fkKr+gC4TFoPpvPc5g4bOMD+bOncOt8eCOMIlEoqMP+EqzstPWhdx1dYjVtNo2UaYdS&#10;k7agNy9f5SngakFyqVEjDtE3G6XQ7bthsr0pzxjMmZ4b3vJNg+Jb5sMjcyADGgbBwwOOShoUMYNE&#10;SW3cp7/poz92BCslLchVUA32UyLfauwu8nAU3CjsR0Ef1Z0BW6f4OJYnEQEuyFGsnFEfwfp1rAET&#10;0xyVChpG8S70BMev4WK9Tk5H65pD3QeAeZaFrd5ZHstEIL1dHwPATBhHgHpUBtzAvbSl4Z9Ecv/6&#10;Tl5Pv3n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BIk72REwIAABUEAAAOAAAAAAAAAAEA&#10;IAAAAB8BAABkcnMvZTJvRG9jLnhtbFBLBQYAAAAABgAGAFkBAACkBQAAAAA=&#10;">
              <v:fill on="f" focussize="0,0"/>
              <v:stroke on="f" weight="0.5pt"/>
              <v:imagedata o:title=""/>
              <o:lock v:ext="edit" aspectratio="f"/>
              <v:textbox inset="0mm,0mm,0mm,0mm" style="mso-fit-shape-to-text:t;">
                <w:txbxContent>
                  <w:p>
                    <w:pPr>
                      <w:pStyle w:val="1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v:textbox>
            </v:shape>
          </w:pict>
        </mc:Fallback>
      </mc:AlternateContent>
    </w:r>
    <w:r>
      <w:rPr>
        <w:rFonts w:hint="eastAsia" w:ascii="楷体_GB2312" w:hAnsi="楷体_GB2312" w:eastAsia="楷体_GB2312" w:cs="楷体_GB2312"/>
        <w:kern w:val="2"/>
        <w:sz w:val="21"/>
        <w:szCs w:val="21"/>
        <w:lang w:val="en-US" w:eastAsia="zh-CN" w:bidi="ar-SA"/>
      </w:rPr>
      <w:t>靖远煤业工程勘察设计有限公司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甘肃靖煤能源有限公司红会第一煤矿分公司地面压裂井设计                            说明书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甘肃靖煤能源有限公司红会第一煤矿分公司地面压裂井设计                            说明书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甘肃靖煤能源有限公司红会第一煤矿分公司地面压裂井设计                                                                                                                                             说明书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 xml:space="preserve">甘肃靖煤能源有限公司红会第一煤矿分公司地面压裂井设计                   </w:t>
    </w:r>
    <w:r>
      <w:rPr>
        <w:rFonts w:hint="default" w:ascii="楷体_GB2312" w:hAnsi="楷体_GB2312" w:eastAsia="楷体_GB2312" w:cs="楷体_GB2312"/>
        <w:sz w:val="21"/>
        <w:szCs w:val="21"/>
        <w:lang w:val="en-US" w:eastAsia="zh-CN"/>
      </w:rPr>
      <w:t xml:space="preserve">     </w:t>
    </w:r>
    <w:r>
      <w:rPr>
        <w:rFonts w:hint="eastAsia" w:ascii="楷体_GB2312" w:hAnsi="楷体_GB2312" w:eastAsia="楷体_GB2312" w:cs="楷体_GB2312"/>
        <w:sz w:val="21"/>
        <w:szCs w:val="21"/>
        <w:lang w:val="en-US" w:eastAsia="zh-CN"/>
      </w:rPr>
      <w:t xml:space="preserve">    说明书</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 xml:space="preserve">甘肃靖煤能源有限公司红会第一煤矿分公司地面压裂井设计                                                                                                                                    </w:t>
    </w:r>
    <w:r>
      <w:rPr>
        <w:rFonts w:hint="default" w:ascii="楷体_GB2312" w:hAnsi="楷体_GB2312" w:eastAsia="楷体_GB2312" w:cs="楷体_GB2312"/>
        <w:sz w:val="21"/>
        <w:szCs w:val="21"/>
        <w:lang w:val="en-US" w:eastAsia="zh-CN"/>
      </w:rPr>
      <w:t xml:space="preserve">     </w:t>
    </w:r>
    <w:r>
      <w:rPr>
        <w:rFonts w:hint="eastAsia" w:ascii="楷体_GB2312" w:hAnsi="楷体_GB2312" w:eastAsia="楷体_GB2312" w:cs="楷体_GB2312"/>
        <w:sz w:val="21"/>
        <w:szCs w:val="21"/>
        <w:lang w:val="en-US" w:eastAsia="zh-CN"/>
      </w:rPr>
      <w:t xml:space="preserve">    说明书</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 xml:space="preserve">甘肃靖煤能源有限公司红会第一煤矿分公司地面压裂井设计                   </w:t>
    </w:r>
    <w:r>
      <w:rPr>
        <w:rFonts w:hint="default" w:ascii="楷体_GB2312" w:hAnsi="楷体_GB2312" w:eastAsia="楷体_GB2312" w:cs="楷体_GB2312"/>
        <w:sz w:val="21"/>
        <w:szCs w:val="21"/>
        <w:lang w:val="en-US" w:eastAsia="zh-CN"/>
      </w:rPr>
      <w:t xml:space="preserve">     </w:t>
    </w:r>
    <w:r>
      <w:rPr>
        <w:rFonts w:hint="eastAsia" w:ascii="楷体_GB2312" w:hAnsi="楷体_GB2312" w:eastAsia="楷体_GB2312" w:cs="楷体_GB2312"/>
        <w:sz w:val="21"/>
        <w:szCs w:val="21"/>
        <w:lang w:val="en-US" w:eastAsia="zh-CN"/>
      </w:rPr>
      <w:t xml:space="preserve">    说明书</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 xml:space="preserve">甘肃靖煤能源有限公司红会第一煤矿分公司地面压裂井设计                                                                  </w:t>
    </w:r>
    <w:r>
      <w:rPr>
        <w:rFonts w:hint="default" w:ascii="楷体_GB2312" w:hAnsi="楷体_GB2312" w:eastAsia="楷体_GB2312" w:cs="楷体_GB2312"/>
        <w:sz w:val="21"/>
        <w:szCs w:val="21"/>
        <w:lang w:val="en-US" w:eastAsia="zh-CN"/>
      </w:rPr>
      <w:t xml:space="preserve">     </w:t>
    </w:r>
    <w:r>
      <w:rPr>
        <w:rFonts w:hint="eastAsia" w:ascii="楷体_GB2312" w:hAnsi="楷体_GB2312" w:eastAsia="楷体_GB2312" w:cs="楷体_GB2312"/>
        <w:sz w:val="21"/>
        <w:szCs w:val="21"/>
        <w:lang w:val="en-US" w:eastAsia="zh-CN"/>
      </w:rPr>
      <w:t xml:space="preserve">    说明书</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1"/>
      </w:pBdr>
      <w:jc w:val="left"/>
      <w:rPr>
        <w:rFonts w:hint="default" w:ascii="楷体_GB2312" w:hAnsi="楷体_GB2312" w:eastAsia="楷体_GB2312" w:cs="楷体_GB2312"/>
        <w:sz w:val="21"/>
        <w:szCs w:val="21"/>
        <w:lang w:val="en-US" w:eastAsia="zh-CN"/>
      </w:rPr>
    </w:pPr>
    <w:r>
      <w:rPr>
        <w:rFonts w:hint="eastAsia" w:ascii="楷体_GB2312" w:hAnsi="楷体_GB2312" w:eastAsia="楷体_GB2312" w:cs="楷体_GB2312"/>
        <w:sz w:val="21"/>
        <w:szCs w:val="21"/>
        <w:lang w:val="en-US" w:eastAsia="zh-CN"/>
      </w:rPr>
      <w:t xml:space="preserve">甘肃靖煤能源有限公司红会第一煤矿分公司地面压裂井设计                   </w:t>
    </w:r>
    <w:r>
      <w:rPr>
        <w:rFonts w:hint="default" w:ascii="楷体_GB2312" w:hAnsi="楷体_GB2312" w:eastAsia="楷体_GB2312" w:cs="楷体_GB2312"/>
        <w:sz w:val="21"/>
        <w:szCs w:val="21"/>
        <w:lang w:val="en-US" w:eastAsia="zh-CN"/>
      </w:rPr>
      <w:t xml:space="preserve">     </w:t>
    </w:r>
    <w:r>
      <w:rPr>
        <w:rFonts w:hint="eastAsia" w:ascii="楷体_GB2312" w:hAnsi="楷体_GB2312" w:eastAsia="楷体_GB2312" w:cs="楷体_GB2312"/>
        <w:sz w:val="21"/>
        <w:szCs w:val="21"/>
        <w:lang w:val="en-US" w:eastAsia="zh-CN"/>
      </w:rPr>
      <w:t xml:space="preserve">    说明书</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ZlNThkYTM0OTUwNjdmYjQwMGM2ZjRiYTIzYzJjN2EifQ=="/>
  </w:docVars>
  <w:rsids>
    <w:rsidRoot w:val="00172A27"/>
    <w:rsid w:val="00035963"/>
    <w:rsid w:val="00171F6A"/>
    <w:rsid w:val="001D15C8"/>
    <w:rsid w:val="003D21EE"/>
    <w:rsid w:val="003E651B"/>
    <w:rsid w:val="00655C07"/>
    <w:rsid w:val="0069592F"/>
    <w:rsid w:val="00733E26"/>
    <w:rsid w:val="007B1839"/>
    <w:rsid w:val="00957800"/>
    <w:rsid w:val="00A413F9"/>
    <w:rsid w:val="00A56828"/>
    <w:rsid w:val="00A753D2"/>
    <w:rsid w:val="00AD5D77"/>
    <w:rsid w:val="00B11EF3"/>
    <w:rsid w:val="00B34AC6"/>
    <w:rsid w:val="00C00CAB"/>
    <w:rsid w:val="00F62645"/>
    <w:rsid w:val="00F826AD"/>
    <w:rsid w:val="01000222"/>
    <w:rsid w:val="010B135F"/>
    <w:rsid w:val="01253372"/>
    <w:rsid w:val="013426ED"/>
    <w:rsid w:val="01442430"/>
    <w:rsid w:val="014F27B3"/>
    <w:rsid w:val="014F66BA"/>
    <w:rsid w:val="015025AE"/>
    <w:rsid w:val="01614AA6"/>
    <w:rsid w:val="01653498"/>
    <w:rsid w:val="01852063"/>
    <w:rsid w:val="019530DB"/>
    <w:rsid w:val="019A2388"/>
    <w:rsid w:val="019F68FC"/>
    <w:rsid w:val="01A77979"/>
    <w:rsid w:val="01C07674"/>
    <w:rsid w:val="01C34939"/>
    <w:rsid w:val="01C73507"/>
    <w:rsid w:val="01CC7E40"/>
    <w:rsid w:val="01DB4E4A"/>
    <w:rsid w:val="01F14EB9"/>
    <w:rsid w:val="020967F0"/>
    <w:rsid w:val="0227311A"/>
    <w:rsid w:val="023177D1"/>
    <w:rsid w:val="028B52D5"/>
    <w:rsid w:val="02900567"/>
    <w:rsid w:val="029C6BD4"/>
    <w:rsid w:val="02A05390"/>
    <w:rsid w:val="02B00042"/>
    <w:rsid w:val="02B01361"/>
    <w:rsid w:val="02B96468"/>
    <w:rsid w:val="02BC3B8F"/>
    <w:rsid w:val="02C80DAE"/>
    <w:rsid w:val="02CB4CC3"/>
    <w:rsid w:val="02CB6F76"/>
    <w:rsid w:val="02CD56E4"/>
    <w:rsid w:val="02E20A60"/>
    <w:rsid w:val="02EE2602"/>
    <w:rsid w:val="02F215C9"/>
    <w:rsid w:val="02F327FE"/>
    <w:rsid w:val="02F54D7B"/>
    <w:rsid w:val="032624E8"/>
    <w:rsid w:val="03333CC9"/>
    <w:rsid w:val="036B4CDA"/>
    <w:rsid w:val="037E6D7C"/>
    <w:rsid w:val="03C66E74"/>
    <w:rsid w:val="03C67B8E"/>
    <w:rsid w:val="03C92090"/>
    <w:rsid w:val="03EC791A"/>
    <w:rsid w:val="03EF55FF"/>
    <w:rsid w:val="03F328FB"/>
    <w:rsid w:val="03F67E59"/>
    <w:rsid w:val="04023CA0"/>
    <w:rsid w:val="040541E8"/>
    <w:rsid w:val="040B5B5E"/>
    <w:rsid w:val="04144835"/>
    <w:rsid w:val="04191D15"/>
    <w:rsid w:val="04391919"/>
    <w:rsid w:val="043F1552"/>
    <w:rsid w:val="04441988"/>
    <w:rsid w:val="04542FCE"/>
    <w:rsid w:val="0458496D"/>
    <w:rsid w:val="04785CE8"/>
    <w:rsid w:val="048E7480"/>
    <w:rsid w:val="049E52B3"/>
    <w:rsid w:val="04A05AFC"/>
    <w:rsid w:val="04AB1D0B"/>
    <w:rsid w:val="04C45942"/>
    <w:rsid w:val="04C70F47"/>
    <w:rsid w:val="04F12F85"/>
    <w:rsid w:val="05200AB7"/>
    <w:rsid w:val="052F5C3B"/>
    <w:rsid w:val="057847CA"/>
    <w:rsid w:val="05A1503F"/>
    <w:rsid w:val="05A427EE"/>
    <w:rsid w:val="05D77C78"/>
    <w:rsid w:val="05DA4A97"/>
    <w:rsid w:val="05E564F6"/>
    <w:rsid w:val="05E90B10"/>
    <w:rsid w:val="0614122D"/>
    <w:rsid w:val="061C186F"/>
    <w:rsid w:val="063419E9"/>
    <w:rsid w:val="065C49A4"/>
    <w:rsid w:val="067227E5"/>
    <w:rsid w:val="06723AD0"/>
    <w:rsid w:val="067947D8"/>
    <w:rsid w:val="067B3A34"/>
    <w:rsid w:val="068648B3"/>
    <w:rsid w:val="068A4540"/>
    <w:rsid w:val="069E4C6F"/>
    <w:rsid w:val="06A2273A"/>
    <w:rsid w:val="06BF72D4"/>
    <w:rsid w:val="06DF42AA"/>
    <w:rsid w:val="0705533C"/>
    <w:rsid w:val="070775A3"/>
    <w:rsid w:val="07126BE3"/>
    <w:rsid w:val="072B0A84"/>
    <w:rsid w:val="0756063C"/>
    <w:rsid w:val="07585B24"/>
    <w:rsid w:val="075B5620"/>
    <w:rsid w:val="076A15D6"/>
    <w:rsid w:val="07791613"/>
    <w:rsid w:val="07796013"/>
    <w:rsid w:val="077D3DC4"/>
    <w:rsid w:val="079919C9"/>
    <w:rsid w:val="079A70D5"/>
    <w:rsid w:val="07A266E8"/>
    <w:rsid w:val="07BF11AC"/>
    <w:rsid w:val="07BF5BD6"/>
    <w:rsid w:val="07C507E2"/>
    <w:rsid w:val="07D145C0"/>
    <w:rsid w:val="07D6750B"/>
    <w:rsid w:val="08050B4A"/>
    <w:rsid w:val="08176B97"/>
    <w:rsid w:val="081B2D99"/>
    <w:rsid w:val="08403E22"/>
    <w:rsid w:val="0849259A"/>
    <w:rsid w:val="084B3111"/>
    <w:rsid w:val="08595B7E"/>
    <w:rsid w:val="08854C9D"/>
    <w:rsid w:val="0895702F"/>
    <w:rsid w:val="089B5F7E"/>
    <w:rsid w:val="08B41921"/>
    <w:rsid w:val="08B67B1E"/>
    <w:rsid w:val="08BE1751"/>
    <w:rsid w:val="08C738B9"/>
    <w:rsid w:val="08D75428"/>
    <w:rsid w:val="08FF3F2B"/>
    <w:rsid w:val="09090F0A"/>
    <w:rsid w:val="091326EB"/>
    <w:rsid w:val="09186D3D"/>
    <w:rsid w:val="091F5D9E"/>
    <w:rsid w:val="09227AB0"/>
    <w:rsid w:val="092A5EA3"/>
    <w:rsid w:val="09336431"/>
    <w:rsid w:val="09487535"/>
    <w:rsid w:val="094C24EB"/>
    <w:rsid w:val="094C694D"/>
    <w:rsid w:val="09524F20"/>
    <w:rsid w:val="095C5023"/>
    <w:rsid w:val="0972651D"/>
    <w:rsid w:val="098B0C0C"/>
    <w:rsid w:val="09964633"/>
    <w:rsid w:val="099C528A"/>
    <w:rsid w:val="09A76614"/>
    <w:rsid w:val="09CA7455"/>
    <w:rsid w:val="09D0398F"/>
    <w:rsid w:val="09FF58FD"/>
    <w:rsid w:val="0A0B4BDA"/>
    <w:rsid w:val="0A0E6AA2"/>
    <w:rsid w:val="0A1719BD"/>
    <w:rsid w:val="0A1B5AFA"/>
    <w:rsid w:val="0A3367C8"/>
    <w:rsid w:val="0A54652A"/>
    <w:rsid w:val="0A5556F6"/>
    <w:rsid w:val="0A5B4ECE"/>
    <w:rsid w:val="0A5E51C6"/>
    <w:rsid w:val="0A6273E5"/>
    <w:rsid w:val="0A86486C"/>
    <w:rsid w:val="0A9D604B"/>
    <w:rsid w:val="0AA40AB5"/>
    <w:rsid w:val="0AB52892"/>
    <w:rsid w:val="0AD81504"/>
    <w:rsid w:val="0ADA28D6"/>
    <w:rsid w:val="0AE3336A"/>
    <w:rsid w:val="0AF81AF7"/>
    <w:rsid w:val="0B077141"/>
    <w:rsid w:val="0B177F6A"/>
    <w:rsid w:val="0B273B78"/>
    <w:rsid w:val="0B3C19E4"/>
    <w:rsid w:val="0B4C1864"/>
    <w:rsid w:val="0B51325E"/>
    <w:rsid w:val="0B641361"/>
    <w:rsid w:val="0B8F6E09"/>
    <w:rsid w:val="0BAF3807"/>
    <w:rsid w:val="0BB4045A"/>
    <w:rsid w:val="0BBC244C"/>
    <w:rsid w:val="0BC942CE"/>
    <w:rsid w:val="0BD21DB5"/>
    <w:rsid w:val="0BD76E79"/>
    <w:rsid w:val="0BF8627C"/>
    <w:rsid w:val="0BF94AD3"/>
    <w:rsid w:val="0C0B2C4F"/>
    <w:rsid w:val="0C176C63"/>
    <w:rsid w:val="0C180EA4"/>
    <w:rsid w:val="0C182890"/>
    <w:rsid w:val="0C257ED2"/>
    <w:rsid w:val="0C403756"/>
    <w:rsid w:val="0C6C3817"/>
    <w:rsid w:val="0C70585A"/>
    <w:rsid w:val="0C712D95"/>
    <w:rsid w:val="0C7C536D"/>
    <w:rsid w:val="0C8A0C45"/>
    <w:rsid w:val="0C9520FB"/>
    <w:rsid w:val="0CDF3D2D"/>
    <w:rsid w:val="0D184D1F"/>
    <w:rsid w:val="0D3411A9"/>
    <w:rsid w:val="0D475C66"/>
    <w:rsid w:val="0D4C250D"/>
    <w:rsid w:val="0D500485"/>
    <w:rsid w:val="0D581A6E"/>
    <w:rsid w:val="0D7767C8"/>
    <w:rsid w:val="0D8829C8"/>
    <w:rsid w:val="0D9C7EC5"/>
    <w:rsid w:val="0DA075B0"/>
    <w:rsid w:val="0DA86828"/>
    <w:rsid w:val="0DB95847"/>
    <w:rsid w:val="0DBF159C"/>
    <w:rsid w:val="0DD5421B"/>
    <w:rsid w:val="0DE17F09"/>
    <w:rsid w:val="0DF739C4"/>
    <w:rsid w:val="0E12713B"/>
    <w:rsid w:val="0E160C52"/>
    <w:rsid w:val="0E1F2A9A"/>
    <w:rsid w:val="0E29229B"/>
    <w:rsid w:val="0E374F5A"/>
    <w:rsid w:val="0E3C7629"/>
    <w:rsid w:val="0E406C10"/>
    <w:rsid w:val="0E4F5EA2"/>
    <w:rsid w:val="0E6E260C"/>
    <w:rsid w:val="0E7864D9"/>
    <w:rsid w:val="0E8318BD"/>
    <w:rsid w:val="0E96143D"/>
    <w:rsid w:val="0E9B3592"/>
    <w:rsid w:val="0EAD56C2"/>
    <w:rsid w:val="0EAE6943"/>
    <w:rsid w:val="0EB00321"/>
    <w:rsid w:val="0EE11F1E"/>
    <w:rsid w:val="0EEE7A23"/>
    <w:rsid w:val="0F26107E"/>
    <w:rsid w:val="0F313CD7"/>
    <w:rsid w:val="0F3E5E90"/>
    <w:rsid w:val="0F8C15AB"/>
    <w:rsid w:val="0FC04E41"/>
    <w:rsid w:val="0FC97292"/>
    <w:rsid w:val="0FF47709"/>
    <w:rsid w:val="0FFC148B"/>
    <w:rsid w:val="0FFD31F8"/>
    <w:rsid w:val="10062F2D"/>
    <w:rsid w:val="100C5F40"/>
    <w:rsid w:val="10133250"/>
    <w:rsid w:val="10516277"/>
    <w:rsid w:val="10523B43"/>
    <w:rsid w:val="106A3E98"/>
    <w:rsid w:val="106B5FDB"/>
    <w:rsid w:val="108A4FA0"/>
    <w:rsid w:val="10A1053B"/>
    <w:rsid w:val="10B92E95"/>
    <w:rsid w:val="10C22DCC"/>
    <w:rsid w:val="10CA6843"/>
    <w:rsid w:val="10DD63D4"/>
    <w:rsid w:val="10DF34A3"/>
    <w:rsid w:val="10E01064"/>
    <w:rsid w:val="10E51621"/>
    <w:rsid w:val="10F0486C"/>
    <w:rsid w:val="10F7463A"/>
    <w:rsid w:val="11105C94"/>
    <w:rsid w:val="112676EC"/>
    <w:rsid w:val="1131008A"/>
    <w:rsid w:val="11477335"/>
    <w:rsid w:val="1161321B"/>
    <w:rsid w:val="116C0A0D"/>
    <w:rsid w:val="116C50FA"/>
    <w:rsid w:val="11BC7A36"/>
    <w:rsid w:val="11C37D4E"/>
    <w:rsid w:val="11CD50C1"/>
    <w:rsid w:val="11D32976"/>
    <w:rsid w:val="11D37654"/>
    <w:rsid w:val="11E153DE"/>
    <w:rsid w:val="11FE74C7"/>
    <w:rsid w:val="120257EB"/>
    <w:rsid w:val="120430AD"/>
    <w:rsid w:val="12047C8F"/>
    <w:rsid w:val="12055B8F"/>
    <w:rsid w:val="1221375A"/>
    <w:rsid w:val="1228350E"/>
    <w:rsid w:val="122D46DF"/>
    <w:rsid w:val="124C3511"/>
    <w:rsid w:val="124F52F0"/>
    <w:rsid w:val="124F64A1"/>
    <w:rsid w:val="12574F3C"/>
    <w:rsid w:val="12855816"/>
    <w:rsid w:val="12865C3B"/>
    <w:rsid w:val="128815CD"/>
    <w:rsid w:val="129332CE"/>
    <w:rsid w:val="12942211"/>
    <w:rsid w:val="12AE39E5"/>
    <w:rsid w:val="12BD716E"/>
    <w:rsid w:val="12C472E3"/>
    <w:rsid w:val="12DC4A23"/>
    <w:rsid w:val="12ED0C16"/>
    <w:rsid w:val="13036A10"/>
    <w:rsid w:val="130F3631"/>
    <w:rsid w:val="131A535D"/>
    <w:rsid w:val="13274208"/>
    <w:rsid w:val="1346584B"/>
    <w:rsid w:val="13714940"/>
    <w:rsid w:val="137E36FF"/>
    <w:rsid w:val="137F0A42"/>
    <w:rsid w:val="13AF69FE"/>
    <w:rsid w:val="13B92C91"/>
    <w:rsid w:val="13F05FD0"/>
    <w:rsid w:val="13F30A56"/>
    <w:rsid w:val="13FB3E94"/>
    <w:rsid w:val="14290203"/>
    <w:rsid w:val="144162BD"/>
    <w:rsid w:val="14922675"/>
    <w:rsid w:val="14CF38C9"/>
    <w:rsid w:val="14DB6BF3"/>
    <w:rsid w:val="14EB79FD"/>
    <w:rsid w:val="15055B1D"/>
    <w:rsid w:val="152E7D5C"/>
    <w:rsid w:val="153F60A6"/>
    <w:rsid w:val="154871D8"/>
    <w:rsid w:val="154B153E"/>
    <w:rsid w:val="155B336A"/>
    <w:rsid w:val="155D3738"/>
    <w:rsid w:val="156009C5"/>
    <w:rsid w:val="1560364B"/>
    <w:rsid w:val="156569AA"/>
    <w:rsid w:val="157D54E4"/>
    <w:rsid w:val="15812399"/>
    <w:rsid w:val="1594241D"/>
    <w:rsid w:val="15987FB9"/>
    <w:rsid w:val="15AA5D61"/>
    <w:rsid w:val="15AF54A9"/>
    <w:rsid w:val="15E302E9"/>
    <w:rsid w:val="15E74B48"/>
    <w:rsid w:val="15F1208C"/>
    <w:rsid w:val="15F46D04"/>
    <w:rsid w:val="163422DE"/>
    <w:rsid w:val="163A3342"/>
    <w:rsid w:val="163A3812"/>
    <w:rsid w:val="16415248"/>
    <w:rsid w:val="16607927"/>
    <w:rsid w:val="16656AFC"/>
    <w:rsid w:val="168B3EE8"/>
    <w:rsid w:val="16990766"/>
    <w:rsid w:val="16A04992"/>
    <w:rsid w:val="16BA6DBA"/>
    <w:rsid w:val="16D367C3"/>
    <w:rsid w:val="16E9248A"/>
    <w:rsid w:val="16FB595D"/>
    <w:rsid w:val="17017F86"/>
    <w:rsid w:val="17092DBE"/>
    <w:rsid w:val="17187B1F"/>
    <w:rsid w:val="172A0967"/>
    <w:rsid w:val="172E1CF6"/>
    <w:rsid w:val="174001C6"/>
    <w:rsid w:val="174A2293"/>
    <w:rsid w:val="175319E9"/>
    <w:rsid w:val="17867CEC"/>
    <w:rsid w:val="17AF08F3"/>
    <w:rsid w:val="17C92BEE"/>
    <w:rsid w:val="17DE7423"/>
    <w:rsid w:val="17F5443F"/>
    <w:rsid w:val="17FA5FB6"/>
    <w:rsid w:val="17FC737D"/>
    <w:rsid w:val="17FE5709"/>
    <w:rsid w:val="181D0D96"/>
    <w:rsid w:val="182B33CC"/>
    <w:rsid w:val="1844637C"/>
    <w:rsid w:val="184D282C"/>
    <w:rsid w:val="1851028F"/>
    <w:rsid w:val="18712346"/>
    <w:rsid w:val="18863274"/>
    <w:rsid w:val="18867EEE"/>
    <w:rsid w:val="188744BB"/>
    <w:rsid w:val="18884F49"/>
    <w:rsid w:val="188C57F4"/>
    <w:rsid w:val="188C7D76"/>
    <w:rsid w:val="188E5849"/>
    <w:rsid w:val="18987ABC"/>
    <w:rsid w:val="18B626FA"/>
    <w:rsid w:val="18BE5A27"/>
    <w:rsid w:val="18EB40E8"/>
    <w:rsid w:val="191931E1"/>
    <w:rsid w:val="192E15C5"/>
    <w:rsid w:val="193F39D6"/>
    <w:rsid w:val="194F1269"/>
    <w:rsid w:val="19526877"/>
    <w:rsid w:val="195613AC"/>
    <w:rsid w:val="195A73F9"/>
    <w:rsid w:val="195D5B61"/>
    <w:rsid w:val="1963528F"/>
    <w:rsid w:val="196D6161"/>
    <w:rsid w:val="19712F36"/>
    <w:rsid w:val="197232CD"/>
    <w:rsid w:val="19A41F11"/>
    <w:rsid w:val="19A569C3"/>
    <w:rsid w:val="19B14317"/>
    <w:rsid w:val="19CD1BCE"/>
    <w:rsid w:val="19F36672"/>
    <w:rsid w:val="1A0816C3"/>
    <w:rsid w:val="1A0A7151"/>
    <w:rsid w:val="1A1578DA"/>
    <w:rsid w:val="1A3C3E0C"/>
    <w:rsid w:val="1A4B59CE"/>
    <w:rsid w:val="1A5E2E17"/>
    <w:rsid w:val="1A71779D"/>
    <w:rsid w:val="1A822EE8"/>
    <w:rsid w:val="1A9D6217"/>
    <w:rsid w:val="1AA331DF"/>
    <w:rsid w:val="1AA96283"/>
    <w:rsid w:val="1AB34FB6"/>
    <w:rsid w:val="1AC87252"/>
    <w:rsid w:val="1ACA3628"/>
    <w:rsid w:val="1ACA40BA"/>
    <w:rsid w:val="1AF72561"/>
    <w:rsid w:val="1AFB42F4"/>
    <w:rsid w:val="1B00687B"/>
    <w:rsid w:val="1B18188F"/>
    <w:rsid w:val="1B2452B4"/>
    <w:rsid w:val="1B280A3D"/>
    <w:rsid w:val="1B6E7064"/>
    <w:rsid w:val="1B77364C"/>
    <w:rsid w:val="1B7943E0"/>
    <w:rsid w:val="1B861ADC"/>
    <w:rsid w:val="1B862B4C"/>
    <w:rsid w:val="1B897BE9"/>
    <w:rsid w:val="1B8C3C7F"/>
    <w:rsid w:val="1BCF58EE"/>
    <w:rsid w:val="1BE25084"/>
    <w:rsid w:val="1BED1DAD"/>
    <w:rsid w:val="1BF105E3"/>
    <w:rsid w:val="1BF72E44"/>
    <w:rsid w:val="1C0416A0"/>
    <w:rsid w:val="1C321B35"/>
    <w:rsid w:val="1C322F51"/>
    <w:rsid w:val="1C33425F"/>
    <w:rsid w:val="1C5F451E"/>
    <w:rsid w:val="1C733EC3"/>
    <w:rsid w:val="1C746B04"/>
    <w:rsid w:val="1C776E36"/>
    <w:rsid w:val="1C89385B"/>
    <w:rsid w:val="1C8A2966"/>
    <w:rsid w:val="1C8E46A8"/>
    <w:rsid w:val="1CA66243"/>
    <w:rsid w:val="1CD51F4F"/>
    <w:rsid w:val="1CDB6B83"/>
    <w:rsid w:val="1CE05B58"/>
    <w:rsid w:val="1CE979F8"/>
    <w:rsid w:val="1CFD6FA6"/>
    <w:rsid w:val="1D235E5E"/>
    <w:rsid w:val="1D282FAE"/>
    <w:rsid w:val="1D2D32E8"/>
    <w:rsid w:val="1D5366B4"/>
    <w:rsid w:val="1D6054AF"/>
    <w:rsid w:val="1D6A20D8"/>
    <w:rsid w:val="1D706661"/>
    <w:rsid w:val="1D7A08AC"/>
    <w:rsid w:val="1D8316F5"/>
    <w:rsid w:val="1D882867"/>
    <w:rsid w:val="1D9D1301"/>
    <w:rsid w:val="1DAD791F"/>
    <w:rsid w:val="1DAF1E6C"/>
    <w:rsid w:val="1DC76D07"/>
    <w:rsid w:val="1DCC025E"/>
    <w:rsid w:val="1DD92F03"/>
    <w:rsid w:val="1DDC7057"/>
    <w:rsid w:val="1DF35111"/>
    <w:rsid w:val="1DF3724B"/>
    <w:rsid w:val="1DFD078E"/>
    <w:rsid w:val="1E021FFA"/>
    <w:rsid w:val="1E182972"/>
    <w:rsid w:val="1E2A5779"/>
    <w:rsid w:val="1E4059AB"/>
    <w:rsid w:val="1E413979"/>
    <w:rsid w:val="1E4402F1"/>
    <w:rsid w:val="1E4A71F3"/>
    <w:rsid w:val="1E5829F2"/>
    <w:rsid w:val="1E5A048F"/>
    <w:rsid w:val="1E8159BC"/>
    <w:rsid w:val="1E9F6AF9"/>
    <w:rsid w:val="1EAB1854"/>
    <w:rsid w:val="1EC43D44"/>
    <w:rsid w:val="1EE02E63"/>
    <w:rsid w:val="1F040D75"/>
    <w:rsid w:val="1F1101CF"/>
    <w:rsid w:val="1F3053B8"/>
    <w:rsid w:val="1F347610"/>
    <w:rsid w:val="1F353CA5"/>
    <w:rsid w:val="1F3F4555"/>
    <w:rsid w:val="1F6D7F66"/>
    <w:rsid w:val="1F941FD3"/>
    <w:rsid w:val="1F9D458E"/>
    <w:rsid w:val="1FA15A93"/>
    <w:rsid w:val="1FA227A5"/>
    <w:rsid w:val="1FB5384E"/>
    <w:rsid w:val="1FBA09A5"/>
    <w:rsid w:val="1FBB354F"/>
    <w:rsid w:val="1FC876F0"/>
    <w:rsid w:val="1FC97167"/>
    <w:rsid w:val="1FE103A9"/>
    <w:rsid w:val="1FE81839"/>
    <w:rsid w:val="1FE87F35"/>
    <w:rsid w:val="1FEB1793"/>
    <w:rsid w:val="20080567"/>
    <w:rsid w:val="200A7EAB"/>
    <w:rsid w:val="200F598A"/>
    <w:rsid w:val="2014438F"/>
    <w:rsid w:val="20260EA0"/>
    <w:rsid w:val="20274778"/>
    <w:rsid w:val="202A3291"/>
    <w:rsid w:val="20340B65"/>
    <w:rsid w:val="20360551"/>
    <w:rsid w:val="204D636F"/>
    <w:rsid w:val="20585691"/>
    <w:rsid w:val="20674B6A"/>
    <w:rsid w:val="20724F3A"/>
    <w:rsid w:val="207909FD"/>
    <w:rsid w:val="2086184C"/>
    <w:rsid w:val="208E3A80"/>
    <w:rsid w:val="209239FD"/>
    <w:rsid w:val="20B61DE1"/>
    <w:rsid w:val="20B81936"/>
    <w:rsid w:val="20C761A1"/>
    <w:rsid w:val="20EA547E"/>
    <w:rsid w:val="20F87D04"/>
    <w:rsid w:val="21001D56"/>
    <w:rsid w:val="210E39CB"/>
    <w:rsid w:val="212F03E9"/>
    <w:rsid w:val="213424C3"/>
    <w:rsid w:val="21472A39"/>
    <w:rsid w:val="21676E2E"/>
    <w:rsid w:val="21697CC8"/>
    <w:rsid w:val="21730805"/>
    <w:rsid w:val="217A02D8"/>
    <w:rsid w:val="218864D2"/>
    <w:rsid w:val="21893DF4"/>
    <w:rsid w:val="21937A2C"/>
    <w:rsid w:val="219F6403"/>
    <w:rsid w:val="21BD0283"/>
    <w:rsid w:val="21DC44CE"/>
    <w:rsid w:val="21DE514B"/>
    <w:rsid w:val="21F31C2E"/>
    <w:rsid w:val="21F80BF1"/>
    <w:rsid w:val="21FA1394"/>
    <w:rsid w:val="2202014A"/>
    <w:rsid w:val="22021A0E"/>
    <w:rsid w:val="220864EB"/>
    <w:rsid w:val="220C334F"/>
    <w:rsid w:val="222641EA"/>
    <w:rsid w:val="223136CE"/>
    <w:rsid w:val="22514D94"/>
    <w:rsid w:val="228C7B62"/>
    <w:rsid w:val="229703ED"/>
    <w:rsid w:val="2299637D"/>
    <w:rsid w:val="229A1EC0"/>
    <w:rsid w:val="22C60EC5"/>
    <w:rsid w:val="22E20491"/>
    <w:rsid w:val="232A557B"/>
    <w:rsid w:val="23793F2B"/>
    <w:rsid w:val="23993921"/>
    <w:rsid w:val="239D39DC"/>
    <w:rsid w:val="23B53026"/>
    <w:rsid w:val="23E45899"/>
    <w:rsid w:val="24025BAF"/>
    <w:rsid w:val="241E5809"/>
    <w:rsid w:val="242100AD"/>
    <w:rsid w:val="242D0D55"/>
    <w:rsid w:val="244B1187"/>
    <w:rsid w:val="245D36D1"/>
    <w:rsid w:val="245D4D23"/>
    <w:rsid w:val="246B5029"/>
    <w:rsid w:val="24831FDA"/>
    <w:rsid w:val="2495523D"/>
    <w:rsid w:val="24C96F6B"/>
    <w:rsid w:val="24CA25A4"/>
    <w:rsid w:val="24DE3340"/>
    <w:rsid w:val="24E71B39"/>
    <w:rsid w:val="24E73629"/>
    <w:rsid w:val="24E8550B"/>
    <w:rsid w:val="24FA005A"/>
    <w:rsid w:val="25062208"/>
    <w:rsid w:val="251473CA"/>
    <w:rsid w:val="2532687B"/>
    <w:rsid w:val="25463AA9"/>
    <w:rsid w:val="255378F6"/>
    <w:rsid w:val="256B6D72"/>
    <w:rsid w:val="2582226E"/>
    <w:rsid w:val="25AA4C20"/>
    <w:rsid w:val="25B6293D"/>
    <w:rsid w:val="25C1238B"/>
    <w:rsid w:val="25C513BE"/>
    <w:rsid w:val="25D265CB"/>
    <w:rsid w:val="25E63E45"/>
    <w:rsid w:val="260116D8"/>
    <w:rsid w:val="260D5FFF"/>
    <w:rsid w:val="261D3BC7"/>
    <w:rsid w:val="26340AEC"/>
    <w:rsid w:val="26341ACF"/>
    <w:rsid w:val="264F731C"/>
    <w:rsid w:val="26881571"/>
    <w:rsid w:val="269D49E6"/>
    <w:rsid w:val="26A953B4"/>
    <w:rsid w:val="26B26802"/>
    <w:rsid w:val="26B529ED"/>
    <w:rsid w:val="26CA39F9"/>
    <w:rsid w:val="26D7485F"/>
    <w:rsid w:val="26FB054E"/>
    <w:rsid w:val="271D2730"/>
    <w:rsid w:val="272A1403"/>
    <w:rsid w:val="27364110"/>
    <w:rsid w:val="273929E4"/>
    <w:rsid w:val="2747252C"/>
    <w:rsid w:val="278A073F"/>
    <w:rsid w:val="27914A0E"/>
    <w:rsid w:val="27A760C6"/>
    <w:rsid w:val="27A916CA"/>
    <w:rsid w:val="27AC42D1"/>
    <w:rsid w:val="27B83E8E"/>
    <w:rsid w:val="27B86F64"/>
    <w:rsid w:val="27C53CEF"/>
    <w:rsid w:val="27C85011"/>
    <w:rsid w:val="27CA3069"/>
    <w:rsid w:val="27EE0466"/>
    <w:rsid w:val="28060A20"/>
    <w:rsid w:val="28373226"/>
    <w:rsid w:val="28495E4E"/>
    <w:rsid w:val="28523E60"/>
    <w:rsid w:val="28641733"/>
    <w:rsid w:val="28673506"/>
    <w:rsid w:val="28702FC2"/>
    <w:rsid w:val="28E1465C"/>
    <w:rsid w:val="28F10371"/>
    <w:rsid w:val="291C63EE"/>
    <w:rsid w:val="292168C5"/>
    <w:rsid w:val="292A20BF"/>
    <w:rsid w:val="292E24A0"/>
    <w:rsid w:val="293D6BFB"/>
    <w:rsid w:val="29432642"/>
    <w:rsid w:val="295F62F9"/>
    <w:rsid w:val="296B6CBA"/>
    <w:rsid w:val="29810E58"/>
    <w:rsid w:val="2996107E"/>
    <w:rsid w:val="29B14364"/>
    <w:rsid w:val="29B16ED0"/>
    <w:rsid w:val="29BC13EC"/>
    <w:rsid w:val="29C11D4B"/>
    <w:rsid w:val="29C86CA0"/>
    <w:rsid w:val="29CA2459"/>
    <w:rsid w:val="29D0195B"/>
    <w:rsid w:val="29DC15D1"/>
    <w:rsid w:val="29E452C9"/>
    <w:rsid w:val="29E561FA"/>
    <w:rsid w:val="29EB2962"/>
    <w:rsid w:val="29F67938"/>
    <w:rsid w:val="2A017492"/>
    <w:rsid w:val="2A081256"/>
    <w:rsid w:val="2A295F04"/>
    <w:rsid w:val="2A446497"/>
    <w:rsid w:val="2A465F84"/>
    <w:rsid w:val="2A6052EC"/>
    <w:rsid w:val="2A631200"/>
    <w:rsid w:val="2A6A2562"/>
    <w:rsid w:val="2A833C45"/>
    <w:rsid w:val="2A84453B"/>
    <w:rsid w:val="2A9315C0"/>
    <w:rsid w:val="2A961DB4"/>
    <w:rsid w:val="2AA11CFE"/>
    <w:rsid w:val="2AC944BF"/>
    <w:rsid w:val="2ACC5C63"/>
    <w:rsid w:val="2AD51846"/>
    <w:rsid w:val="2ADB5FD0"/>
    <w:rsid w:val="2AE412F9"/>
    <w:rsid w:val="2AEF4C89"/>
    <w:rsid w:val="2B035F31"/>
    <w:rsid w:val="2B22256D"/>
    <w:rsid w:val="2B38144E"/>
    <w:rsid w:val="2B4B0416"/>
    <w:rsid w:val="2B6050C6"/>
    <w:rsid w:val="2B613899"/>
    <w:rsid w:val="2B621119"/>
    <w:rsid w:val="2B666F7E"/>
    <w:rsid w:val="2B796E07"/>
    <w:rsid w:val="2B7A2309"/>
    <w:rsid w:val="2B936FA7"/>
    <w:rsid w:val="2B994F6F"/>
    <w:rsid w:val="2BC5726E"/>
    <w:rsid w:val="2BFA613B"/>
    <w:rsid w:val="2C043B9D"/>
    <w:rsid w:val="2C0A14E0"/>
    <w:rsid w:val="2C256D2B"/>
    <w:rsid w:val="2C3E18A0"/>
    <w:rsid w:val="2C46226B"/>
    <w:rsid w:val="2C5D7ABC"/>
    <w:rsid w:val="2C5F332D"/>
    <w:rsid w:val="2C6A5D73"/>
    <w:rsid w:val="2C86797A"/>
    <w:rsid w:val="2C9F29F6"/>
    <w:rsid w:val="2CA7357C"/>
    <w:rsid w:val="2CC80ED2"/>
    <w:rsid w:val="2CF8144D"/>
    <w:rsid w:val="2CFB168A"/>
    <w:rsid w:val="2D012636"/>
    <w:rsid w:val="2D196306"/>
    <w:rsid w:val="2D2347C1"/>
    <w:rsid w:val="2D2C76B3"/>
    <w:rsid w:val="2D364FED"/>
    <w:rsid w:val="2D387DAC"/>
    <w:rsid w:val="2D3C17CB"/>
    <w:rsid w:val="2D3F6A10"/>
    <w:rsid w:val="2D46673F"/>
    <w:rsid w:val="2D482013"/>
    <w:rsid w:val="2D606846"/>
    <w:rsid w:val="2D6311B8"/>
    <w:rsid w:val="2D64676D"/>
    <w:rsid w:val="2D6E5230"/>
    <w:rsid w:val="2D782A6B"/>
    <w:rsid w:val="2D7A1A9E"/>
    <w:rsid w:val="2D81006B"/>
    <w:rsid w:val="2D817F02"/>
    <w:rsid w:val="2D9E0B6F"/>
    <w:rsid w:val="2DA00D84"/>
    <w:rsid w:val="2DB63420"/>
    <w:rsid w:val="2DB7418D"/>
    <w:rsid w:val="2DE51610"/>
    <w:rsid w:val="2DF4706A"/>
    <w:rsid w:val="2DFB584D"/>
    <w:rsid w:val="2E001114"/>
    <w:rsid w:val="2E15098A"/>
    <w:rsid w:val="2E2C7012"/>
    <w:rsid w:val="2E391427"/>
    <w:rsid w:val="2E431CCD"/>
    <w:rsid w:val="2E5D3414"/>
    <w:rsid w:val="2E5F4C10"/>
    <w:rsid w:val="2E6058BF"/>
    <w:rsid w:val="2E675160"/>
    <w:rsid w:val="2E6C695D"/>
    <w:rsid w:val="2E7D525B"/>
    <w:rsid w:val="2EA53422"/>
    <w:rsid w:val="2EBB5B84"/>
    <w:rsid w:val="2EE8585B"/>
    <w:rsid w:val="2EED03B3"/>
    <w:rsid w:val="2F087CAC"/>
    <w:rsid w:val="2F0F7004"/>
    <w:rsid w:val="2F1D1DD1"/>
    <w:rsid w:val="2F1E127D"/>
    <w:rsid w:val="2F233567"/>
    <w:rsid w:val="2F235F63"/>
    <w:rsid w:val="2F261EE0"/>
    <w:rsid w:val="2F344416"/>
    <w:rsid w:val="2F4075E1"/>
    <w:rsid w:val="2F422150"/>
    <w:rsid w:val="2F4921E4"/>
    <w:rsid w:val="2F545D35"/>
    <w:rsid w:val="2F586390"/>
    <w:rsid w:val="2F60722F"/>
    <w:rsid w:val="2F7969D2"/>
    <w:rsid w:val="2F8B732A"/>
    <w:rsid w:val="2F8D6020"/>
    <w:rsid w:val="2FB153B9"/>
    <w:rsid w:val="2FBC045F"/>
    <w:rsid w:val="2FD149D7"/>
    <w:rsid w:val="2FEC08F4"/>
    <w:rsid w:val="2FFD0E9F"/>
    <w:rsid w:val="301372F6"/>
    <w:rsid w:val="303739F6"/>
    <w:rsid w:val="30660B04"/>
    <w:rsid w:val="30752853"/>
    <w:rsid w:val="307B6416"/>
    <w:rsid w:val="30A45447"/>
    <w:rsid w:val="30AC3C6D"/>
    <w:rsid w:val="30BB6FF0"/>
    <w:rsid w:val="30D44AAA"/>
    <w:rsid w:val="30FF6475"/>
    <w:rsid w:val="31032579"/>
    <w:rsid w:val="312002A4"/>
    <w:rsid w:val="313456F6"/>
    <w:rsid w:val="31394218"/>
    <w:rsid w:val="31625401"/>
    <w:rsid w:val="316A1EA2"/>
    <w:rsid w:val="316D4C23"/>
    <w:rsid w:val="316F4A00"/>
    <w:rsid w:val="317564FB"/>
    <w:rsid w:val="31921D34"/>
    <w:rsid w:val="31A326A9"/>
    <w:rsid w:val="31CB4A23"/>
    <w:rsid w:val="31CE3356"/>
    <w:rsid w:val="31CE70D3"/>
    <w:rsid w:val="320A5418"/>
    <w:rsid w:val="321A5698"/>
    <w:rsid w:val="3228376C"/>
    <w:rsid w:val="322F578A"/>
    <w:rsid w:val="324A34C8"/>
    <w:rsid w:val="32514CFA"/>
    <w:rsid w:val="325E175D"/>
    <w:rsid w:val="3263616B"/>
    <w:rsid w:val="32943E42"/>
    <w:rsid w:val="32A73BCA"/>
    <w:rsid w:val="32A90296"/>
    <w:rsid w:val="32A90464"/>
    <w:rsid w:val="32B46392"/>
    <w:rsid w:val="32D02DBF"/>
    <w:rsid w:val="33022F2E"/>
    <w:rsid w:val="33057DEC"/>
    <w:rsid w:val="335C6581"/>
    <w:rsid w:val="336742C0"/>
    <w:rsid w:val="337E0FCB"/>
    <w:rsid w:val="338E2923"/>
    <w:rsid w:val="33900F1D"/>
    <w:rsid w:val="33B243E0"/>
    <w:rsid w:val="33C24C1B"/>
    <w:rsid w:val="33E5004D"/>
    <w:rsid w:val="33EE0572"/>
    <w:rsid w:val="34014350"/>
    <w:rsid w:val="341F1291"/>
    <w:rsid w:val="34213FFD"/>
    <w:rsid w:val="34244F7F"/>
    <w:rsid w:val="342E03D0"/>
    <w:rsid w:val="343C4C08"/>
    <w:rsid w:val="34420966"/>
    <w:rsid w:val="34503D7F"/>
    <w:rsid w:val="345534DA"/>
    <w:rsid w:val="34627E5C"/>
    <w:rsid w:val="34746616"/>
    <w:rsid w:val="347512DE"/>
    <w:rsid w:val="348C0173"/>
    <w:rsid w:val="34A24333"/>
    <w:rsid w:val="34A51AF9"/>
    <w:rsid w:val="34B47F8E"/>
    <w:rsid w:val="34CE193B"/>
    <w:rsid w:val="34EA78A4"/>
    <w:rsid w:val="350C4793"/>
    <w:rsid w:val="352973F3"/>
    <w:rsid w:val="352A597C"/>
    <w:rsid w:val="353250D2"/>
    <w:rsid w:val="35347BA6"/>
    <w:rsid w:val="35435B71"/>
    <w:rsid w:val="354A6F5C"/>
    <w:rsid w:val="35585344"/>
    <w:rsid w:val="355E7EA6"/>
    <w:rsid w:val="356B4F29"/>
    <w:rsid w:val="35771DF3"/>
    <w:rsid w:val="359109DC"/>
    <w:rsid w:val="35A40002"/>
    <w:rsid w:val="35C04F7A"/>
    <w:rsid w:val="35EC62CF"/>
    <w:rsid w:val="35F27C28"/>
    <w:rsid w:val="35FB06F3"/>
    <w:rsid w:val="36200A2C"/>
    <w:rsid w:val="362C24D2"/>
    <w:rsid w:val="36302683"/>
    <w:rsid w:val="36303889"/>
    <w:rsid w:val="364B2B16"/>
    <w:rsid w:val="3660217B"/>
    <w:rsid w:val="36634FEE"/>
    <w:rsid w:val="367125DA"/>
    <w:rsid w:val="367F4CF7"/>
    <w:rsid w:val="36977CCD"/>
    <w:rsid w:val="36B7714D"/>
    <w:rsid w:val="36BF2351"/>
    <w:rsid w:val="36CC5A63"/>
    <w:rsid w:val="36EA6C58"/>
    <w:rsid w:val="36F84B53"/>
    <w:rsid w:val="36FD166A"/>
    <w:rsid w:val="37057E1C"/>
    <w:rsid w:val="370A7DF5"/>
    <w:rsid w:val="37192892"/>
    <w:rsid w:val="373243DE"/>
    <w:rsid w:val="37332968"/>
    <w:rsid w:val="373B3CD7"/>
    <w:rsid w:val="37414C09"/>
    <w:rsid w:val="3743583B"/>
    <w:rsid w:val="37585548"/>
    <w:rsid w:val="375C3D2E"/>
    <w:rsid w:val="377063EE"/>
    <w:rsid w:val="377A707C"/>
    <w:rsid w:val="378C3A5A"/>
    <w:rsid w:val="378D3751"/>
    <w:rsid w:val="37D106FF"/>
    <w:rsid w:val="37D13DF2"/>
    <w:rsid w:val="37D42E21"/>
    <w:rsid w:val="38342F06"/>
    <w:rsid w:val="38380E2C"/>
    <w:rsid w:val="38421B97"/>
    <w:rsid w:val="38430BD1"/>
    <w:rsid w:val="385A7BCD"/>
    <w:rsid w:val="385F2F3E"/>
    <w:rsid w:val="386166DD"/>
    <w:rsid w:val="38872C3D"/>
    <w:rsid w:val="388B0028"/>
    <w:rsid w:val="388D2FD0"/>
    <w:rsid w:val="388F0AF6"/>
    <w:rsid w:val="38916EE7"/>
    <w:rsid w:val="38A238FF"/>
    <w:rsid w:val="38A748FD"/>
    <w:rsid w:val="38A840E1"/>
    <w:rsid w:val="38B20A21"/>
    <w:rsid w:val="38BB179E"/>
    <w:rsid w:val="38C31126"/>
    <w:rsid w:val="38CC5014"/>
    <w:rsid w:val="38FB6E9E"/>
    <w:rsid w:val="390946A9"/>
    <w:rsid w:val="3915127F"/>
    <w:rsid w:val="392D0F5C"/>
    <w:rsid w:val="39343B6F"/>
    <w:rsid w:val="3939777D"/>
    <w:rsid w:val="394328F7"/>
    <w:rsid w:val="397D6648"/>
    <w:rsid w:val="398C1D91"/>
    <w:rsid w:val="39B06C7B"/>
    <w:rsid w:val="39B61C3E"/>
    <w:rsid w:val="39BF28CA"/>
    <w:rsid w:val="39C738E5"/>
    <w:rsid w:val="39CD575A"/>
    <w:rsid w:val="39CE7CE4"/>
    <w:rsid w:val="39DD2D9B"/>
    <w:rsid w:val="39DF6B9C"/>
    <w:rsid w:val="39EB369D"/>
    <w:rsid w:val="3A1A6F11"/>
    <w:rsid w:val="3A1E4827"/>
    <w:rsid w:val="3A234E9D"/>
    <w:rsid w:val="3A345DF9"/>
    <w:rsid w:val="3A443B62"/>
    <w:rsid w:val="3A45428F"/>
    <w:rsid w:val="3A4B4EF0"/>
    <w:rsid w:val="3A4B6C9E"/>
    <w:rsid w:val="3A6D646B"/>
    <w:rsid w:val="3A7C3473"/>
    <w:rsid w:val="3A8136BD"/>
    <w:rsid w:val="3A8414A0"/>
    <w:rsid w:val="3A947191"/>
    <w:rsid w:val="3A9E5160"/>
    <w:rsid w:val="3AA24081"/>
    <w:rsid w:val="3AA93215"/>
    <w:rsid w:val="3AB14F88"/>
    <w:rsid w:val="3ABC560A"/>
    <w:rsid w:val="3AC80B4E"/>
    <w:rsid w:val="3ACA32B2"/>
    <w:rsid w:val="3AE15E32"/>
    <w:rsid w:val="3B2E3783"/>
    <w:rsid w:val="3B5C50E5"/>
    <w:rsid w:val="3B623F8B"/>
    <w:rsid w:val="3B854432"/>
    <w:rsid w:val="3B9A1C8B"/>
    <w:rsid w:val="3B9E2A09"/>
    <w:rsid w:val="3BCE5EAF"/>
    <w:rsid w:val="3BCF693A"/>
    <w:rsid w:val="3BD60D2E"/>
    <w:rsid w:val="3BDC22A4"/>
    <w:rsid w:val="3BE83FF7"/>
    <w:rsid w:val="3BEE6F4D"/>
    <w:rsid w:val="3BFB1DC3"/>
    <w:rsid w:val="3BFD221A"/>
    <w:rsid w:val="3C000C66"/>
    <w:rsid w:val="3C127BF8"/>
    <w:rsid w:val="3C363F28"/>
    <w:rsid w:val="3C4437F2"/>
    <w:rsid w:val="3C4A35E1"/>
    <w:rsid w:val="3C4F1E9B"/>
    <w:rsid w:val="3C737A94"/>
    <w:rsid w:val="3C7B0F64"/>
    <w:rsid w:val="3C945236"/>
    <w:rsid w:val="3CB55E47"/>
    <w:rsid w:val="3CB8578C"/>
    <w:rsid w:val="3CEE3DDD"/>
    <w:rsid w:val="3CEE6F00"/>
    <w:rsid w:val="3CF123F4"/>
    <w:rsid w:val="3CF7644A"/>
    <w:rsid w:val="3D1B6191"/>
    <w:rsid w:val="3D3138BF"/>
    <w:rsid w:val="3D4150C0"/>
    <w:rsid w:val="3D4E32BF"/>
    <w:rsid w:val="3D5A6ED5"/>
    <w:rsid w:val="3D5F3053"/>
    <w:rsid w:val="3D605F3C"/>
    <w:rsid w:val="3D617B07"/>
    <w:rsid w:val="3D702E0F"/>
    <w:rsid w:val="3D807220"/>
    <w:rsid w:val="3D8758B4"/>
    <w:rsid w:val="3D8C12FC"/>
    <w:rsid w:val="3D8E1413"/>
    <w:rsid w:val="3D932F0A"/>
    <w:rsid w:val="3D960F48"/>
    <w:rsid w:val="3D9B0B0D"/>
    <w:rsid w:val="3DC10259"/>
    <w:rsid w:val="3DC93602"/>
    <w:rsid w:val="3DD14667"/>
    <w:rsid w:val="3DD7732B"/>
    <w:rsid w:val="3DDE6EEA"/>
    <w:rsid w:val="3DDF6286"/>
    <w:rsid w:val="3DE23329"/>
    <w:rsid w:val="3DF076B3"/>
    <w:rsid w:val="3DF93BD1"/>
    <w:rsid w:val="3DFE6E08"/>
    <w:rsid w:val="3E07081A"/>
    <w:rsid w:val="3E0F5203"/>
    <w:rsid w:val="3E2B306F"/>
    <w:rsid w:val="3E2E790C"/>
    <w:rsid w:val="3E306640"/>
    <w:rsid w:val="3E620FB6"/>
    <w:rsid w:val="3E64770B"/>
    <w:rsid w:val="3E93004E"/>
    <w:rsid w:val="3EAC0BBE"/>
    <w:rsid w:val="3EB71584"/>
    <w:rsid w:val="3EE8407A"/>
    <w:rsid w:val="3EEF032B"/>
    <w:rsid w:val="3F08088C"/>
    <w:rsid w:val="3F0E66AF"/>
    <w:rsid w:val="3F0E69CA"/>
    <w:rsid w:val="3F103E47"/>
    <w:rsid w:val="3F322773"/>
    <w:rsid w:val="3F3601F1"/>
    <w:rsid w:val="3F440219"/>
    <w:rsid w:val="3F447D76"/>
    <w:rsid w:val="3F525A97"/>
    <w:rsid w:val="3F9C61C8"/>
    <w:rsid w:val="3FA052B9"/>
    <w:rsid w:val="3FB02DD6"/>
    <w:rsid w:val="3FB03E60"/>
    <w:rsid w:val="3FB60591"/>
    <w:rsid w:val="3FDC12F6"/>
    <w:rsid w:val="40476224"/>
    <w:rsid w:val="406E6C3C"/>
    <w:rsid w:val="407364B0"/>
    <w:rsid w:val="40CB3391"/>
    <w:rsid w:val="40DE42B0"/>
    <w:rsid w:val="410764A6"/>
    <w:rsid w:val="410938E0"/>
    <w:rsid w:val="4114718C"/>
    <w:rsid w:val="41495638"/>
    <w:rsid w:val="41711E7F"/>
    <w:rsid w:val="4173368E"/>
    <w:rsid w:val="41820879"/>
    <w:rsid w:val="419453CF"/>
    <w:rsid w:val="41C50C3F"/>
    <w:rsid w:val="41D028F6"/>
    <w:rsid w:val="41D34340"/>
    <w:rsid w:val="41DC007E"/>
    <w:rsid w:val="41E14AC1"/>
    <w:rsid w:val="41EB52A2"/>
    <w:rsid w:val="41F03084"/>
    <w:rsid w:val="41F20375"/>
    <w:rsid w:val="4214427F"/>
    <w:rsid w:val="42154DAD"/>
    <w:rsid w:val="422C28D7"/>
    <w:rsid w:val="422E2257"/>
    <w:rsid w:val="424C7564"/>
    <w:rsid w:val="426E5B3B"/>
    <w:rsid w:val="42731C38"/>
    <w:rsid w:val="42745FB1"/>
    <w:rsid w:val="427E4103"/>
    <w:rsid w:val="428A4D12"/>
    <w:rsid w:val="428B4B01"/>
    <w:rsid w:val="42935DBA"/>
    <w:rsid w:val="42B046B7"/>
    <w:rsid w:val="42BF022A"/>
    <w:rsid w:val="42D84586"/>
    <w:rsid w:val="42F4353C"/>
    <w:rsid w:val="42FA57FD"/>
    <w:rsid w:val="430F2365"/>
    <w:rsid w:val="43141A71"/>
    <w:rsid w:val="43275F5C"/>
    <w:rsid w:val="432A02B7"/>
    <w:rsid w:val="433074E7"/>
    <w:rsid w:val="434374BF"/>
    <w:rsid w:val="434B67BE"/>
    <w:rsid w:val="434D40EE"/>
    <w:rsid w:val="434E7724"/>
    <w:rsid w:val="434F5A51"/>
    <w:rsid w:val="436A7668"/>
    <w:rsid w:val="437300F6"/>
    <w:rsid w:val="43841E5C"/>
    <w:rsid w:val="439E5299"/>
    <w:rsid w:val="43B0728B"/>
    <w:rsid w:val="43B21688"/>
    <w:rsid w:val="43BE2853"/>
    <w:rsid w:val="43C51E58"/>
    <w:rsid w:val="43DD4F4C"/>
    <w:rsid w:val="43E352A8"/>
    <w:rsid w:val="43F263DD"/>
    <w:rsid w:val="440C3065"/>
    <w:rsid w:val="440D4834"/>
    <w:rsid w:val="44111B57"/>
    <w:rsid w:val="44235243"/>
    <w:rsid w:val="442D1437"/>
    <w:rsid w:val="444151A7"/>
    <w:rsid w:val="444A2903"/>
    <w:rsid w:val="4454751B"/>
    <w:rsid w:val="448B7458"/>
    <w:rsid w:val="448E0EB7"/>
    <w:rsid w:val="44950865"/>
    <w:rsid w:val="44A34884"/>
    <w:rsid w:val="44D6503D"/>
    <w:rsid w:val="44E64DA1"/>
    <w:rsid w:val="44EE46AF"/>
    <w:rsid w:val="44FE3A66"/>
    <w:rsid w:val="4503119F"/>
    <w:rsid w:val="45172E3C"/>
    <w:rsid w:val="45187B7D"/>
    <w:rsid w:val="45201377"/>
    <w:rsid w:val="453D1295"/>
    <w:rsid w:val="4579261F"/>
    <w:rsid w:val="458D0B1A"/>
    <w:rsid w:val="45905528"/>
    <w:rsid w:val="45A13C30"/>
    <w:rsid w:val="45AF32BA"/>
    <w:rsid w:val="45B93476"/>
    <w:rsid w:val="45C85718"/>
    <w:rsid w:val="45D466E2"/>
    <w:rsid w:val="45D6312A"/>
    <w:rsid w:val="45EC64FE"/>
    <w:rsid w:val="45F95CD0"/>
    <w:rsid w:val="45FC0B43"/>
    <w:rsid w:val="45FC4754"/>
    <w:rsid w:val="4600744E"/>
    <w:rsid w:val="46012220"/>
    <w:rsid w:val="460E291F"/>
    <w:rsid w:val="46143F06"/>
    <w:rsid w:val="461E7A43"/>
    <w:rsid w:val="462E3E7B"/>
    <w:rsid w:val="46372511"/>
    <w:rsid w:val="46467C99"/>
    <w:rsid w:val="46740803"/>
    <w:rsid w:val="46830837"/>
    <w:rsid w:val="469511E9"/>
    <w:rsid w:val="469B1319"/>
    <w:rsid w:val="46B53241"/>
    <w:rsid w:val="46B74033"/>
    <w:rsid w:val="46C9165C"/>
    <w:rsid w:val="46E464B1"/>
    <w:rsid w:val="46E93AC7"/>
    <w:rsid w:val="46EE7DBE"/>
    <w:rsid w:val="4712301E"/>
    <w:rsid w:val="471617F4"/>
    <w:rsid w:val="471922A4"/>
    <w:rsid w:val="4729480B"/>
    <w:rsid w:val="472D6DDB"/>
    <w:rsid w:val="474656F8"/>
    <w:rsid w:val="47531FBE"/>
    <w:rsid w:val="476404DB"/>
    <w:rsid w:val="47757191"/>
    <w:rsid w:val="477773CB"/>
    <w:rsid w:val="47870B56"/>
    <w:rsid w:val="47A23C1C"/>
    <w:rsid w:val="47AE09F4"/>
    <w:rsid w:val="47CF76EA"/>
    <w:rsid w:val="47D13F89"/>
    <w:rsid w:val="48173B5E"/>
    <w:rsid w:val="481B23A6"/>
    <w:rsid w:val="481E3C44"/>
    <w:rsid w:val="48945014"/>
    <w:rsid w:val="48B7336A"/>
    <w:rsid w:val="48BD6F98"/>
    <w:rsid w:val="48BF4C75"/>
    <w:rsid w:val="48DD10C2"/>
    <w:rsid w:val="48EB1BB5"/>
    <w:rsid w:val="48F126B6"/>
    <w:rsid w:val="490D1994"/>
    <w:rsid w:val="492F56F0"/>
    <w:rsid w:val="49301E81"/>
    <w:rsid w:val="494D22DA"/>
    <w:rsid w:val="494E5278"/>
    <w:rsid w:val="4953791E"/>
    <w:rsid w:val="4968530F"/>
    <w:rsid w:val="49757598"/>
    <w:rsid w:val="49930BB6"/>
    <w:rsid w:val="499F3EFE"/>
    <w:rsid w:val="49A805DE"/>
    <w:rsid w:val="49A8701A"/>
    <w:rsid w:val="49AB775A"/>
    <w:rsid w:val="49B30142"/>
    <w:rsid w:val="49B47F19"/>
    <w:rsid w:val="49B73327"/>
    <w:rsid w:val="49B7711E"/>
    <w:rsid w:val="49B91F0E"/>
    <w:rsid w:val="49D518CC"/>
    <w:rsid w:val="49F501BF"/>
    <w:rsid w:val="4A0F1DCA"/>
    <w:rsid w:val="4A1D3DE7"/>
    <w:rsid w:val="4A24201B"/>
    <w:rsid w:val="4A337FAE"/>
    <w:rsid w:val="4A3B5F72"/>
    <w:rsid w:val="4A3D4856"/>
    <w:rsid w:val="4A5A47EB"/>
    <w:rsid w:val="4A706611"/>
    <w:rsid w:val="4A8204BA"/>
    <w:rsid w:val="4A860D4D"/>
    <w:rsid w:val="4A8D68E9"/>
    <w:rsid w:val="4A9A0E8E"/>
    <w:rsid w:val="4A9B4746"/>
    <w:rsid w:val="4AC55D82"/>
    <w:rsid w:val="4AEF0B1F"/>
    <w:rsid w:val="4AF02E99"/>
    <w:rsid w:val="4AF64C64"/>
    <w:rsid w:val="4B0617AF"/>
    <w:rsid w:val="4B0B08BD"/>
    <w:rsid w:val="4B1C5613"/>
    <w:rsid w:val="4B2B0B52"/>
    <w:rsid w:val="4B403536"/>
    <w:rsid w:val="4B4734B2"/>
    <w:rsid w:val="4B4979E9"/>
    <w:rsid w:val="4B5429B1"/>
    <w:rsid w:val="4B5C7686"/>
    <w:rsid w:val="4B7771A1"/>
    <w:rsid w:val="4BB17956"/>
    <w:rsid w:val="4BD50ABE"/>
    <w:rsid w:val="4BD91791"/>
    <w:rsid w:val="4BFA501B"/>
    <w:rsid w:val="4C1415D0"/>
    <w:rsid w:val="4C1B1106"/>
    <w:rsid w:val="4C26194B"/>
    <w:rsid w:val="4C400394"/>
    <w:rsid w:val="4C4700BC"/>
    <w:rsid w:val="4C482FB8"/>
    <w:rsid w:val="4C547AE1"/>
    <w:rsid w:val="4C66525B"/>
    <w:rsid w:val="4C674508"/>
    <w:rsid w:val="4C7A2675"/>
    <w:rsid w:val="4C941637"/>
    <w:rsid w:val="4CB17F19"/>
    <w:rsid w:val="4CBA6759"/>
    <w:rsid w:val="4CC509D2"/>
    <w:rsid w:val="4CE05CBD"/>
    <w:rsid w:val="4CE1239D"/>
    <w:rsid w:val="4CE4647E"/>
    <w:rsid w:val="4CE6134E"/>
    <w:rsid w:val="4CF30ECD"/>
    <w:rsid w:val="4CF52FE9"/>
    <w:rsid w:val="4D050AB9"/>
    <w:rsid w:val="4D2228CD"/>
    <w:rsid w:val="4D3A6D00"/>
    <w:rsid w:val="4D5213E7"/>
    <w:rsid w:val="4D572FAB"/>
    <w:rsid w:val="4D5F3876"/>
    <w:rsid w:val="4D626579"/>
    <w:rsid w:val="4D7111BF"/>
    <w:rsid w:val="4D793305"/>
    <w:rsid w:val="4D830C25"/>
    <w:rsid w:val="4DA175B4"/>
    <w:rsid w:val="4DA729D6"/>
    <w:rsid w:val="4DBB7A1A"/>
    <w:rsid w:val="4DF04DAC"/>
    <w:rsid w:val="4DF86726"/>
    <w:rsid w:val="4E0E43D3"/>
    <w:rsid w:val="4E21623C"/>
    <w:rsid w:val="4E3E29F7"/>
    <w:rsid w:val="4E4F001F"/>
    <w:rsid w:val="4E761A7B"/>
    <w:rsid w:val="4E8E15B9"/>
    <w:rsid w:val="4E913F02"/>
    <w:rsid w:val="4E933905"/>
    <w:rsid w:val="4EA648C9"/>
    <w:rsid w:val="4EA83CE6"/>
    <w:rsid w:val="4EBD50DD"/>
    <w:rsid w:val="4EC76DE4"/>
    <w:rsid w:val="4ECA1584"/>
    <w:rsid w:val="4ECA68D4"/>
    <w:rsid w:val="4F2A3DD8"/>
    <w:rsid w:val="4F2F6739"/>
    <w:rsid w:val="4F3712B7"/>
    <w:rsid w:val="4F3C7D11"/>
    <w:rsid w:val="4F462452"/>
    <w:rsid w:val="4F537198"/>
    <w:rsid w:val="4F646E76"/>
    <w:rsid w:val="4F6A1A99"/>
    <w:rsid w:val="4F6E374B"/>
    <w:rsid w:val="4F9071D6"/>
    <w:rsid w:val="4F944AAD"/>
    <w:rsid w:val="4F9A0547"/>
    <w:rsid w:val="4F9D2C74"/>
    <w:rsid w:val="4FA463B2"/>
    <w:rsid w:val="4FC1207E"/>
    <w:rsid w:val="4FC60E49"/>
    <w:rsid w:val="4FF84658"/>
    <w:rsid w:val="501355A5"/>
    <w:rsid w:val="501B018E"/>
    <w:rsid w:val="501C34CA"/>
    <w:rsid w:val="50307450"/>
    <w:rsid w:val="50472704"/>
    <w:rsid w:val="504B0574"/>
    <w:rsid w:val="50667DAA"/>
    <w:rsid w:val="50830AE8"/>
    <w:rsid w:val="50916FF8"/>
    <w:rsid w:val="50A71E89"/>
    <w:rsid w:val="50AF15CA"/>
    <w:rsid w:val="50B551D0"/>
    <w:rsid w:val="50D1743D"/>
    <w:rsid w:val="50D309E0"/>
    <w:rsid w:val="50FB044E"/>
    <w:rsid w:val="511D74EF"/>
    <w:rsid w:val="51556929"/>
    <w:rsid w:val="51617FCE"/>
    <w:rsid w:val="517D1A82"/>
    <w:rsid w:val="5192079D"/>
    <w:rsid w:val="51951DFF"/>
    <w:rsid w:val="51977455"/>
    <w:rsid w:val="51977F3F"/>
    <w:rsid w:val="519805C3"/>
    <w:rsid w:val="519D50C7"/>
    <w:rsid w:val="51A25EDE"/>
    <w:rsid w:val="51A501D4"/>
    <w:rsid w:val="51A5384A"/>
    <w:rsid w:val="51A753BA"/>
    <w:rsid w:val="51AD45F6"/>
    <w:rsid w:val="51C3000E"/>
    <w:rsid w:val="51D36598"/>
    <w:rsid w:val="52006014"/>
    <w:rsid w:val="521750F1"/>
    <w:rsid w:val="522167F9"/>
    <w:rsid w:val="52227C8E"/>
    <w:rsid w:val="52237B34"/>
    <w:rsid w:val="52301644"/>
    <w:rsid w:val="523843FB"/>
    <w:rsid w:val="523B7B33"/>
    <w:rsid w:val="523C3AC6"/>
    <w:rsid w:val="525A1D1D"/>
    <w:rsid w:val="527821A3"/>
    <w:rsid w:val="527A62C2"/>
    <w:rsid w:val="527E5A0B"/>
    <w:rsid w:val="529A69E7"/>
    <w:rsid w:val="52BE0ABC"/>
    <w:rsid w:val="52D27D36"/>
    <w:rsid w:val="52D57AFB"/>
    <w:rsid w:val="52D92545"/>
    <w:rsid w:val="52F31B0C"/>
    <w:rsid w:val="53041EE9"/>
    <w:rsid w:val="5335496D"/>
    <w:rsid w:val="533F0A06"/>
    <w:rsid w:val="534D6648"/>
    <w:rsid w:val="535D1AC5"/>
    <w:rsid w:val="53655B37"/>
    <w:rsid w:val="536C21AE"/>
    <w:rsid w:val="53702CB7"/>
    <w:rsid w:val="53776ED7"/>
    <w:rsid w:val="53B24D13"/>
    <w:rsid w:val="53B9554E"/>
    <w:rsid w:val="53BE308C"/>
    <w:rsid w:val="53C24966"/>
    <w:rsid w:val="53ED54D3"/>
    <w:rsid w:val="54213CC8"/>
    <w:rsid w:val="54272EB4"/>
    <w:rsid w:val="543A66D7"/>
    <w:rsid w:val="54537A2B"/>
    <w:rsid w:val="547219EF"/>
    <w:rsid w:val="54794EC0"/>
    <w:rsid w:val="54B567C1"/>
    <w:rsid w:val="54C179A0"/>
    <w:rsid w:val="54D67D63"/>
    <w:rsid w:val="55045DFD"/>
    <w:rsid w:val="550972C8"/>
    <w:rsid w:val="551A525D"/>
    <w:rsid w:val="55206A2B"/>
    <w:rsid w:val="55244C21"/>
    <w:rsid w:val="55360805"/>
    <w:rsid w:val="55447883"/>
    <w:rsid w:val="55527B93"/>
    <w:rsid w:val="558522AF"/>
    <w:rsid w:val="55A87B03"/>
    <w:rsid w:val="55B93C2B"/>
    <w:rsid w:val="55BB1BC8"/>
    <w:rsid w:val="55C93441"/>
    <w:rsid w:val="55D8557A"/>
    <w:rsid w:val="55E90E52"/>
    <w:rsid w:val="56130A06"/>
    <w:rsid w:val="561B3456"/>
    <w:rsid w:val="561C7ECC"/>
    <w:rsid w:val="56451BD1"/>
    <w:rsid w:val="564F21A9"/>
    <w:rsid w:val="566350EE"/>
    <w:rsid w:val="566969D2"/>
    <w:rsid w:val="568A2E25"/>
    <w:rsid w:val="568D1D06"/>
    <w:rsid w:val="569A6BE9"/>
    <w:rsid w:val="56A24B17"/>
    <w:rsid w:val="56A875D4"/>
    <w:rsid w:val="56CF6A9E"/>
    <w:rsid w:val="56D3743A"/>
    <w:rsid w:val="56E937F3"/>
    <w:rsid w:val="570B2E6A"/>
    <w:rsid w:val="5717043B"/>
    <w:rsid w:val="574B0E09"/>
    <w:rsid w:val="57532EB8"/>
    <w:rsid w:val="5756208A"/>
    <w:rsid w:val="576606A2"/>
    <w:rsid w:val="57694BAB"/>
    <w:rsid w:val="576B31B4"/>
    <w:rsid w:val="576B3FA2"/>
    <w:rsid w:val="57730F69"/>
    <w:rsid w:val="57761D86"/>
    <w:rsid w:val="57805DDE"/>
    <w:rsid w:val="57845C24"/>
    <w:rsid w:val="57856F7F"/>
    <w:rsid w:val="57921948"/>
    <w:rsid w:val="57A01D09"/>
    <w:rsid w:val="57A810C6"/>
    <w:rsid w:val="57C1417C"/>
    <w:rsid w:val="57D55B95"/>
    <w:rsid w:val="57F304BD"/>
    <w:rsid w:val="57F85CDB"/>
    <w:rsid w:val="580411CB"/>
    <w:rsid w:val="58064A61"/>
    <w:rsid w:val="5807105F"/>
    <w:rsid w:val="580856C9"/>
    <w:rsid w:val="58095F62"/>
    <w:rsid w:val="580D2259"/>
    <w:rsid w:val="581A318A"/>
    <w:rsid w:val="582226B2"/>
    <w:rsid w:val="5829466B"/>
    <w:rsid w:val="58434FFD"/>
    <w:rsid w:val="584C035A"/>
    <w:rsid w:val="585120B4"/>
    <w:rsid w:val="585255AB"/>
    <w:rsid w:val="58736BEF"/>
    <w:rsid w:val="58C23068"/>
    <w:rsid w:val="58C3686E"/>
    <w:rsid w:val="58D04A32"/>
    <w:rsid w:val="58D778AA"/>
    <w:rsid w:val="58DC4899"/>
    <w:rsid w:val="58DE639F"/>
    <w:rsid w:val="59397EDE"/>
    <w:rsid w:val="5940501D"/>
    <w:rsid w:val="59432E0F"/>
    <w:rsid w:val="59462FFB"/>
    <w:rsid w:val="59464B33"/>
    <w:rsid w:val="59531717"/>
    <w:rsid w:val="596307AC"/>
    <w:rsid w:val="596D2288"/>
    <w:rsid w:val="59860911"/>
    <w:rsid w:val="598C6DF3"/>
    <w:rsid w:val="59963487"/>
    <w:rsid w:val="59B83FB8"/>
    <w:rsid w:val="59CC2070"/>
    <w:rsid w:val="59CD7083"/>
    <w:rsid w:val="59DB5D8E"/>
    <w:rsid w:val="59F16A8E"/>
    <w:rsid w:val="5A3A39B2"/>
    <w:rsid w:val="5A3C0EDB"/>
    <w:rsid w:val="5A416F8B"/>
    <w:rsid w:val="5A520AC5"/>
    <w:rsid w:val="5A6903E1"/>
    <w:rsid w:val="5A76601A"/>
    <w:rsid w:val="5A77795F"/>
    <w:rsid w:val="5A845CCA"/>
    <w:rsid w:val="5A9A6269"/>
    <w:rsid w:val="5ABC3B26"/>
    <w:rsid w:val="5AD52888"/>
    <w:rsid w:val="5ADB12CB"/>
    <w:rsid w:val="5ADB1E1D"/>
    <w:rsid w:val="5ADD5241"/>
    <w:rsid w:val="5AF96B63"/>
    <w:rsid w:val="5AFD593B"/>
    <w:rsid w:val="5B020BC8"/>
    <w:rsid w:val="5B0907CC"/>
    <w:rsid w:val="5B0D7A83"/>
    <w:rsid w:val="5B1241DE"/>
    <w:rsid w:val="5B220612"/>
    <w:rsid w:val="5B2E6340"/>
    <w:rsid w:val="5B3059E8"/>
    <w:rsid w:val="5B4C6911"/>
    <w:rsid w:val="5B6C1F0A"/>
    <w:rsid w:val="5B6D0F71"/>
    <w:rsid w:val="5B6F0CD1"/>
    <w:rsid w:val="5B7210C8"/>
    <w:rsid w:val="5B7F31D8"/>
    <w:rsid w:val="5B8302B2"/>
    <w:rsid w:val="5BAD3E96"/>
    <w:rsid w:val="5BB835DD"/>
    <w:rsid w:val="5BD3310F"/>
    <w:rsid w:val="5BDF3340"/>
    <w:rsid w:val="5BE35466"/>
    <w:rsid w:val="5BE46ADE"/>
    <w:rsid w:val="5BF35BE7"/>
    <w:rsid w:val="5BFA55F2"/>
    <w:rsid w:val="5C085457"/>
    <w:rsid w:val="5C29480F"/>
    <w:rsid w:val="5C3D0646"/>
    <w:rsid w:val="5C4A1ED1"/>
    <w:rsid w:val="5C551E38"/>
    <w:rsid w:val="5C781C80"/>
    <w:rsid w:val="5C7D5361"/>
    <w:rsid w:val="5C80513A"/>
    <w:rsid w:val="5C890D01"/>
    <w:rsid w:val="5C926C50"/>
    <w:rsid w:val="5CA507BA"/>
    <w:rsid w:val="5CD56B72"/>
    <w:rsid w:val="5CE8136C"/>
    <w:rsid w:val="5CE90DCA"/>
    <w:rsid w:val="5D00591D"/>
    <w:rsid w:val="5D0B2F07"/>
    <w:rsid w:val="5D1768AD"/>
    <w:rsid w:val="5D2237DF"/>
    <w:rsid w:val="5D2F086D"/>
    <w:rsid w:val="5D330AF7"/>
    <w:rsid w:val="5D413C72"/>
    <w:rsid w:val="5D41495C"/>
    <w:rsid w:val="5D5832B1"/>
    <w:rsid w:val="5D627986"/>
    <w:rsid w:val="5D6964BB"/>
    <w:rsid w:val="5D9B718C"/>
    <w:rsid w:val="5DE609D9"/>
    <w:rsid w:val="5DF15E65"/>
    <w:rsid w:val="5E297308"/>
    <w:rsid w:val="5E48511F"/>
    <w:rsid w:val="5E522377"/>
    <w:rsid w:val="5E525213"/>
    <w:rsid w:val="5E6A32E8"/>
    <w:rsid w:val="5E6B23A0"/>
    <w:rsid w:val="5E89136B"/>
    <w:rsid w:val="5E9D396C"/>
    <w:rsid w:val="5ECD0BA7"/>
    <w:rsid w:val="5ED77B72"/>
    <w:rsid w:val="5EDE503B"/>
    <w:rsid w:val="5EDF4AA4"/>
    <w:rsid w:val="5EE3529C"/>
    <w:rsid w:val="5F091928"/>
    <w:rsid w:val="5F14276B"/>
    <w:rsid w:val="5F156170"/>
    <w:rsid w:val="5F1B4C59"/>
    <w:rsid w:val="5F1D101B"/>
    <w:rsid w:val="5F204BD4"/>
    <w:rsid w:val="5F3A1A32"/>
    <w:rsid w:val="5F402AF6"/>
    <w:rsid w:val="5F441D93"/>
    <w:rsid w:val="5F485E63"/>
    <w:rsid w:val="5F670B62"/>
    <w:rsid w:val="5F973A30"/>
    <w:rsid w:val="5FA70A1F"/>
    <w:rsid w:val="5FB4774F"/>
    <w:rsid w:val="5FD924D3"/>
    <w:rsid w:val="5FE315A4"/>
    <w:rsid w:val="5FF404E6"/>
    <w:rsid w:val="6001683E"/>
    <w:rsid w:val="60166F42"/>
    <w:rsid w:val="602E0350"/>
    <w:rsid w:val="603F5D18"/>
    <w:rsid w:val="60416AC7"/>
    <w:rsid w:val="6048609C"/>
    <w:rsid w:val="604B3832"/>
    <w:rsid w:val="606357F9"/>
    <w:rsid w:val="606666CC"/>
    <w:rsid w:val="60686707"/>
    <w:rsid w:val="606F438A"/>
    <w:rsid w:val="606F4B2E"/>
    <w:rsid w:val="607C3C69"/>
    <w:rsid w:val="608529FF"/>
    <w:rsid w:val="60A36CB0"/>
    <w:rsid w:val="60B2176C"/>
    <w:rsid w:val="60B94B89"/>
    <w:rsid w:val="60D86886"/>
    <w:rsid w:val="60DF2142"/>
    <w:rsid w:val="60E67893"/>
    <w:rsid w:val="6110141F"/>
    <w:rsid w:val="61282FFB"/>
    <w:rsid w:val="61372D00"/>
    <w:rsid w:val="61474F03"/>
    <w:rsid w:val="6154094A"/>
    <w:rsid w:val="61584097"/>
    <w:rsid w:val="61646C21"/>
    <w:rsid w:val="61656F84"/>
    <w:rsid w:val="6173567E"/>
    <w:rsid w:val="61795C86"/>
    <w:rsid w:val="61B606DC"/>
    <w:rsid w:val="61B760E2"/>
    <w:rsid w:val="61EF4230"/>
    <w:rsid w:val="61FD4083"/>
    <w:rsid w:val="61FE3CAC"/>
    <w:rsid w:val="620217A1"/>
    <w:rsid w:val="6211608E"/>
    <w:rsid w:val="621C5232"/>
    <w:rsid w:val="62247A0A"/>
    <w:rsid w:val="623A029D"/>
    <w:rsid w:val="624B4382"/>
    <w:rsid w:val="62801C2B"/>
    <w:rsid w:val="629105E8"/>
    <w:rsid w:val="629C40CB"/>
    <w:rsid w:val="62A11418"/>
    <w:rsid w:val="62CA7173"/>
    <w:rsid w:val="62CB0C12"/>
    <w:rsid w:val="62E20694"/>
    <w:rsid w:val="62FC58A3"/>
    <w:rsid w:val="631F416F"/>
    <w:rsid w:val="632D34B0"/>
    <w:rsid w:val="635219CF"/>
    <w:rsid w:val="63575797"/>
    <w:rsid w:val="635952F0"/>
    <w:rsid w:val="635A7096"/>
    <w:rsid w:val="635C1C18"/>
    <w:rsid w:val="6378410F"/>
    <w:rsid w:val="637E4A58"/>
    <w:rsid w:val="637F424B"/>
    <w:rsid w:val="638825CB"/>
    <w:rsid w:val="6389189F"/>
    <w:rsid w:val="639872FD"/>
    <w:rsid w:val="639E2726"/>
    <w:rsid w:val="639F57BB"/>
    <w:rsid w:val="63A1130D"/>
    <w:rsid w:val="63A974C3"/>
    <w:rsid w:val="63B52294"/>
    <w:rsid w:val="63BA519B"/>
    <w:rsid w:val="63CD606A"/>
    <w:rsid w:val="63D0189B"/>
    <w:rsid w:val="63EB6861"/>
    <w:rsid w:val="640619D6"/>
    <w:rsid w:val="64063568"/>
    <w:rsid w:val="64092FD7"/>
    <w:rsid w:val="64161C22"/>
    <w:rsid w:val="644D7933"/>
    <w:rsid w:val="644E7656"/>
    <w:rsid w:val="64597FC7"/>
    <w:rsid w:val="645F52BE"/>
    <w:rsid w:val="647E0C20"/>
    <w:rsid w:val="64916575"/>
    <w:rsid w:val="64AE235E"/>
    <w:rsid w:val="64C53072"/>
    <w:rsid w:val="64EF3081"/>
    <w:rsid w:val="64FB199D"/>
    <w:rsid w:val="64FE3223"/>
    <w:rsid w:val="65090E0B"/>
    <w:rsid w:val="650B5081"/>
    <w:rsid w:val="65204362"/>
    <w:rsid w:val="652B390F"/>
    <w:rsid w:val="6531690D"/>
    <w:rsid w:val="654B14C3"/>
    <w:rsid w:val="65582CDF"/>
    <w:rsid w:val="65611B82"/>
    <w:rsid w:val="656211BC"/>
    <w:rsid w:val="656E01BA"/>
    <w:rsid w:val="658D7F12"/>
    <w:rsid w:val="65903BBE"/>
    <w:rsid w:val="65920F40"/>
    <w:rsid w:val="65945918"/>
    <w:rsid w:val="65AC4B8D"/>
    <w:rsid w:val="65BB73DC"/>
    <w:rsid w:val="65CF03B1"/>
    <w:rsid w:val="65DD4AD6"/>
    <w:rsid w:val="65FF226E"/>
    <w:rsid w:val="662D7BE2"/>
    <w:rsid w:val="663D291A"/>
    <w:rsid w:val="66483B45"/>
    <w:rsid w:val="664F1EF2"/>
    <w:rsid w:val="6658132C"/>
    <w:rsid w:val="66680C19"/>
    <w:rsid w:val="667016B7"/>
    <w:rsid w:val="66794059"/>
    <w:rsid w:val="668120DB"/>
    <w:rsid w:val="6685466B"/>
    <w:rsid w:val="668A5D78"/>
    <w:rsid w:val="669305FB"/>
    <w:rsid w:val="669D6F71"/>
    <w:rsid w:val="669E3600"/>
    <w:rsid w:val="66AD290B"/>
    <w:rsid w:val="66BB2688"/>
    <w:rsid w:val="66C9437D"/>
    <w:rsid w:val="66E009D6"/>
    <w:rsid w:val="66E42F68"/>
    <w:rsid w:val="67031416"/>
    <w:rsid w:val="671238CE"/>
    <w:rsid w:val="67190219"/>
    <w:rsid w:val="6729437A"/>
    <w:rsid w:val="672D0A3D"/>
    <w:rsid w:val="672D2401"/>
    <w:rsid w:val="67520D89"/>
    <w:rsid w:val="676A25AA"/>
    <w:rsid w:val="67715FF0"/>
    <w:rsid w:val="67817651"/>
    <w:rsid w:val="67867616"/>
    <w:rsid w:val="6787212C"/>
    <w:rsid w:val="67BF1D51"/>
    <w:rsid w:val="67CC1592"/>
    <w:rsid w:val="67DA533E"/>
    <w:rsid w:val="67DD7E61"/>
    <w:rsid w:val="684A4A27"/>
    <w:rsid w:val="684F1356"/>
    <w:rsid w:val="685A7B75"/>
    <w:rsid w:val="685C29F2"/>
    <w:rsid w:val="6860055D"/>
    <w:rsid w:val="68601E0D"/>
    <w:rsid w:val="686222CB"/>
    <w:rsid w:val="68A0010A"/>
    <w:rsid w:val="68A33FC6"/>
    <w:rsid w:val="68B01C9E"/>
    <w:rsid w:val="68C56C8A"/>
    <w:rsid w:val="690305C1"/>
    <w:rsid w:val="69105C18"/>
    <w:rsid w:val="691C1682"/>
    <w:rsid w:val="693C545B"/>
    <w:rsid w:val="69560015"/>
    <w:rsid w:val="696603A7"/>
    <w:rsid w:val="69945785"/>
    <w:rsid w:val="69990725"/>
    <w:rsid w:val="699C0F47"/>
    <w:rsid w:val="69A66153"/>
    <w:rsid w:val="69AC0F24"/>
    <w:rsid w:val="69AC6B95"/>
    <w:rsid w:val="69B649AF"/>
    <w:rsid w:val="69B85FB6"/>
    <w:rsid w:val="69D16F30"/>
    <w:rsid w:val="69DA49EA"/>
    <w:rsid w:val="69E52541"/>
    <w:rsid w:val="69ED48B6"/>
    <w:rsid w:val="6A04379F"/>
    <w:rsid w:val="6A076984"/>
    <w:rsid w:val="6A1B5812"/>
    <w:rsid w:val="6A23139D"/>
    <w:rsid w:val="6A266714"/>
    <w:rsid w:val="6A34781C"/>
    <w:rsid w:val="6A3D5478"/>
    <w:rsid w:val="6A3F55FD"/>
    <w:rsid w:val="6A5D4CA1"/>
    <w:rsid w:val="6A6E4F7B"/>
    <w:rsid w:val="6A7E0847"/>
    <w:rsid w:val="6A8B08B6"/>
    <w:rsid w:val="6A9C7D94"/>
    <w:rsid w:val="6AAE5105"/>
    <w:rsid w:val="6AB4102B"/>
    <w:rsid w:val="6ABD181B"/>
    <w:rsid w:val="6AE35888"/>
    <w:rsid w:val="6AFB3D39"/>
    <w:rsid w:val="6B005B41"/>
    <w:rsid w:val="6B0479C5"/>
    <w:rsid w:val="6B1E0303"/>
    <w:rsid w:val="6B257AE3"/>
    <w:rsid w:val="6B311734"/>
    <w:rsid w:val="6B3D3338"/>
    <w:rsid w:val="6B513195"/>
    <w:rsid w:val="6B613269"/>
    <w:rsid w:val="6B6E290B"/>
    <w:rsid w:val="6B775389"/>
    <w:rsid w:val="6B7A46A2"/>
    <w:rsid w:val="6B7E6BCA"/>
    <w:rsid w:val="6B9A6B7D"/>
    <w:rsid w:val="6BBD714D"/>
    <w:rsid w:val="6BBE51DA"/>
    <w:rsid w:val="6C465394"/>
    <w:rsid w:val="6C520450"/>
    <w:rsid w:val="6C68315C"/>
    <w:rsid w:val="6C6A0F6A"/>
    <w:rsid w:val="6C755A79"/>
    <w:rsid w:val="6C7C3501"/>
    <w:rsid w:val="6C7C4BBF"/>
    <w:rsid w:val="6CA8139C"/>
    <w:rsid w:val="6CAB55C7"/>
    <w:rsid w:val="6CB05A78"/>
    <w:rsid w:val="6CB50B1A"/>
    <w:rsid w:val="6CC340B4"/>
    <w:rsid w:val="6CC9798E"/>
    <w:rsid w:val="6D1234C8"/>
    <w:rsid w:val="6D25144D"/>
    <w:rsid w:val="6D2B4915"/>
    <w:rsid w:val="6D634FB5"/>
    <w:rsid w:val="6D674A3F"/>
    <w:rsid w:val="6D685EBB"/>
    <w:rsid w:val="6D6867DC"/>
    <w:rsid w:val="6D733CF5"/>
    <w:rsid w:val="6D9007C4"/>
    <w:rsid w:val="6D9A4072"/>
    <w:rsid w:val="6DD316D8"/>
    <w:rsid w:val="6DEC77A9"/>
    <w:rsid w:val="6DED7DB5"/>
    <w:rsid w:val="6DEE183F"/>
    <w:rsid w:val="6DF40FA7"/>
    <w:rsid w:val="6DF92BAC"/>
    <w:rsid w:val="6DFB61C6"/>
    <w:rsid w:val="6E1058C3"/>
    <w:rsid w:val="6E24496A"/>
    <w:rsid w:val="6E2F09FF"/>
    <w:rsid w:val="6E533E50"/>
    <w:rsid w:val="6E6A0874"/>
    <w:rsid w:val="6E70176F"/>
    <w:rsid w:val="6E72290C"/>
    <w:rsid w:val="6E777DD9"/>
    <w:rsid w:val="6E8571FF"/>
    <w:rsid w:val="6E921DAB"/>
    <w:rsid w:val="6EAA690C"/>
    <w:rsid w:val="6EBB7339"/>
    <w:rsid w:val="6EEA030B"/>
    <w:rsid w:val="6EFB4A55"/>
    <w:rsid w:val="6F185441"/>
    <w:rsid w:val="6F186B4E"/>
    <w:rsid w:val="6F2112B3"/>
    <w:rsid w:val="6F563B60"/>
    <w:rsid w:val="6F6C4D24"/>
    <w:rsid w:val="6F6D09C8"/>
    <w:rsid w:val="6F73758C"/>
    <w:rsid w:val="6F933EAC"/>
    <w:rsid w:val="6FAA7F8C"/>
    <w:rsid w:val="6FB51499"/>
    <w:rsid w:val="6FB86E81"/>
    <w:rsid w:val="6FBF6AD8"/>
    <w:rsid w:val="6FCF3CB7"/>
    <w:rsid w:val="6FDD5D67"/>
    <w:rsid w:val="6FE76848"/>
    <w:rsid w:val="6FE86762"/>
    <w:rsid w:val="6FF3138F"/>
    <w:rsid w:val="6FF779BF"/>
    <w:rsid w:val="701D6A70"/>
    <w:rsid w:val="70220D51"/>
    <w:rsid w:val="70350F59"/>
    <w:rsid w:val="7038212D"/>
    <w:rsid w:val="703C35F6"/>
    <w:rsid w:val="703C7DD2"/>
    <w:rsid w:val="70492ADA"/>
    <w:rsid w:val="70582612"/>
    <w:rsid w:val="707A5B63"/>
    <w:rsid w:val="707F36CA"/>
    <w:rsid w:val="70AA475E"/>
    <w:rsid w:val="70C157D7"/>
    <w:rsid w:val="70C35EEE"/>
    <w:rsid w:val="70D95624"/>
    <w:rsid w:val="70DD39A6"/>
    <w:rsid w:val="70E25F10"/>
    <w:rsid w:val="71044580"/>
    <w:rsid w:val="711A778C"/>
    <w:rsid w:val="71516F3D"/>
    <w:rsid w:val="71595B8E"/>
    <w:rsid w:val="71736911"/>
    <w:rsid w:val="71782EC2"/>
    <w:rsid w:val="718C03B3"/>
    <w:rsid w:val="7190793D"/>
    <w:rsid w:val="71991806"/>
    <w:rsid w:val="71D15700"/>
    <w:rsid w:val="71DA2C6B"/>
    <w:rsid w:val="71DB1E9B"/>
    <w:rsid w:val="71E65442"/>
    <w:rsid w:val="71F40CBC"/>
    <w:rsid w:val="71FC0704"/>
    <w:rsid w:val="72036364"/>
    <w:rsid w:val="72115B75"/>
    <w:rsid w:val="721B197B"/>
    <w:rsid w:val="72320EC4"/>
    <w:rsid w:val="723B05FE"/>
    <w:rsid w:val="72512A79"/>
    <w:rsid w:val="72623AE2"/>
    <w:rsid w:val="726F2BFE"/>
    <w:rsid w:val="72813A55"/>
    <w:rsid w:val="72953F7D"/>
    <w:rsid w:val="72982F64"/>
    <w:rsid w:val="729A338F"/>
    <w:rsid w:val="72A04D7B"/>
    <w:rsid w:val="72AC4B96"/>
    <w:rsid w:val="72B76BD0"/>
    <w:rsid w:val="72B90AF4"/>
    <w:rsid w:val="72CE1C5D"/>
    <w:rsid w:val="72DB435C"/>
    <w:rsid w:val="72F0716C"/>
    <w:rsid w:val="72F40A83"/>
    <w:rsid w:val="72FA4004"/>
    <w:rsid w:val="730438B3"/>
    <w:rsid w:val="73121A0B"/>
    <w:rsid w:val="732176D8"/>
    <w:rsid w:val="732841DE"/>
    <w:rsid w:val="732A0EA8"/>
    <w:rsid w:val="733E75B0"/>
    <w:rsid w:val="735D0BC8"/>
    <w:rsid w:val="736075B4"/>
    <w:rsid w:val="736207CE"/>
    <w:rsid w:val="73660AF7"/>
    <w:rsid w:val="73746857"/>
    <w:rsid w:val="737F1926"/>
    <w:rsid w:val="738314DE"/>
    <w:rsid w:val="73990591"/>
    <w:rsid w:val="739D2967"/>
    <w:rsid w:val="73AC3C73"/>
    <w:rsid w:val="73AF084D"/>
    <w:rsid w:val="73B75EAB"/>
    <w:rsid w:val="73C372EF"/>
    <w:rsid w:val="73C44748"/>
    <w:rsid w:val="73D973C8"/>
    <w:rsid w:val="73DB232E"/>
    <w:rsid w:val="73E2360B"/>
    <w:rsid w:val="73E32257"/>
    <w:rsid w:val="73F2195D"/>
    <w:rsid w:val="73FE27D5"/>
    <w:rsid w:val="73FE3824"/>
    <w:rsid w:val="74096B4E"/>
    <w:rsid w:val="74196B40"/>
    <w:rsid w:val="7423222D"/>
    <w:rsid w:val="742C209B"/>
    <w:rsid w:val="742F36BA"/>
    <w:rsid w:val="747F61D2"/>
    <w:rsid w:val="74844E64"/>
    <w:rsid w:val="74897BA8"/>
    <w:rsid w:val="748A65DD"/>
    <w:rsid w:val="748D5442"/>
    <w:rsid w:val="748F1AFC"/>
    <w:rsid w:val="7499627D"/>
    <w:rsid w:val="74A40738"/>
    <w:rsid w:val="74B618F7"/>
    <w:rsid w:val="74C51770"/>
    <w:rsid w:val="74D869BA"/>
    <w:rsid w:val="74DD53B3"/>
    <w:rsid w:val="74E25471"/>
    <w:rsid w:val="74FA4B60"/>
    <w:rsid w:val="753D66E0"/>
    <w:rsid w:val="753F460A"/>
    <w:rsid w:val="75461677"/>
    <w:rsid w:val="75495ECE"/>
    <w:rsid w:val="756F33D2"/>
    <w:rsid w:val="75725AC6"/>
    <w:rsid w:val="757879D0"/>
    <w:rsid w:val="75874CE7"/>
    <w:rsid w:val="75A90742"/>
    <w:rsid w:val="75BB6235"/>
    <w:rsid w:val="75BF265B"/>
    <w:rsid w:val="75C85898"/>
    <w:rsid w:val="75CE1D81"/>
    <w:rsid w:val="75D6165C"/>
    <w:rsid w:val="75D91E18"/>
    <w:rsid w:val="75F648E7"/>
    <w:rsid w:val="76065B94"/>
    <w:rsid w:val="760D7651"/>
    <w:rsid w:val="761738FD"/>
    <w:rsid w:val="76284A05"/>
    <w:rsid w:val="76293D6B"/>
    <w:rsid w:val="763B2493"/>
    <w:rsid w:val="763D7A34"/>
    <w:rsid w:val="76571A47"/>
    <w:rsid w:val="76654447"/>
    <w:rsid w:val="76AA4771"/>
    <w:rsid w:val="76D57139"/>
    <w:rsid w:val="76D70BCA"/>
    <w:rsid w:val="76E97B10"/>
    <w:rsid w:val="76EA6E27"/>
    <w:rsid w:val="770C71DA"/>
    <w:rsid w:val="77550B81"/>
    <w:rsid w:val="77834746"/>
    <w:rsid w:val="77857431"/>
    <w:rsid w:val="77A978B7"/>
    <w:rsid w:val="77B15AE5"/>
    <w:rsid w:val="77C6332C"/>
    <w:rsid w:val="77CD332D"/>
    <w:rsid w:val="77D8190B"/>
    <w:rsid w:val="77E211D5"/>
    <w:rsid w:val="77E270F6"/>
    <w:rsid w:val="77E70F98"/>
    <w:rsid w:val="77ED6071"/>
    <w:rsid w:val="780659D7"/>
    <w:rsid w:val="782E35AB"/>
    <w:rsid w:val="78397B37"/>
    <w:rsid w:val="78404B61"/>
    <w:rsid w:val="7869466F"/>
    <w:rsid w:val="788700BF"/>
    <w:rsid w:val="78C0027C"/>
    <w:rsid w:val="78C1348F"/>
    <w:rsid w:val="78EE0443"/>
    <w:rsid w:val="78F47B2C"/>
    <w:rsid w:val="78F850FF"/>
    <w:rsid w:val="790113C6"/>
    <w:rsid w:val="790642E6"/>
    <w:rsid w:val="790E4A03"/>
    <w:rsid w:val="790F6D0C"/>
    <w:rsid w:val="79125F38"/>
    <w:rsid w:val="79152290"/>
    <w:rsid w:val="791E3E7D"/>
    <w:rsid w:val="79316B57"/>
    <w:rsid w:val="795226F3"/>
    <w:rsid w:val="7954120D"/>
    <w:rsid w:val="795A7A93"/>
    <w:rsid w:val="797717B5"/>
    <w:rsid w:val="798341D7"/>
    <w:rsid w:val="79B524B8"/>
    <w:rsid w:val="79C716EB"/>
    <w:rsid w:val="79D83405"/>
    <w:rsid w:val="7A1545F8"/>
    <w:rsid w:val="7A340F22"/>
    <w:rsid w:val="7A370E21"/>
    <w:rsid w:val="7A471618"/>
    <w:rsid w:val="7A5C2A39"/>
    <w:rsid w:val="7AAF35B6"/>
    <w:rsid w:val="7AC01B9A"/>
    <w:rsid w:val="7AC8733E"/>
    <w:rsid w:val="7AD65CEC"/>
    <w:rsid w:val="7ADD3367"/>
    <w:rsid w:val="7AEB1310"/>
    <w:rsid w:val="7AF6528B"/>
    <w:rsid w:val="7B1C7F37"/>
    <w:rsid w:val="7B2C2CE4"/>
    <w:rsid w:val="7B497DE3"/>
    <w:rsid w:val="7B53756E"/>
    <w:rsid w:val="7B7641A3"/>
    <w:rsid w:val="7B7B2AE5"/>
    <w:rsid w:val="7B834982"/>
    <w:rsid w:val="7B8C20BD"/>
    <w:rsid w:val="7B8F769F"/>
    <w:rsid w:val="7B9A0559"/>
    <w:rsid w:val="7BD31208"/>
    <w:rsid w:val="7BD4618D"/>
    <w:rsid w:val="7C183D50"/>
    <w:rsid w:val="7C4966C5"/>
    <w:rsid w:val="7C4C1EF2"/>
    <w:rsid w:val="7C7219AC"/>
    <w:rsid w:val="7C78198A"/>
    <w:rsid w:val="7C7C4507"/>
    <w:rsid w:val="7C7E28AB"/>
    <w:rsid w:val="7C827CAF"/>
    <w:rsid w:val="7C8368C2"/>
    <w:rsid w:val="7C9B62BE"/>
    <w:rsid w:val="7C9B7036"/>
    <w:rsid w:val="7CB078FE"/>
    <w:rsid w:val="7CCD0C74"/>
    <w:rsid w:val="7CD15B2E"/>
    <w:rsid w:val="7CD24A22"/>
    <w:rsid w:val="7D020EC9"/>
    <w:rsid w:val="7D034E0F"/>
    <w:rsid w:val="7D72735D"/>
    <w:rsid w:val="7D7501DE"/>
    <w:rsid w:val="7D754914"/>
    <w:rsid w:val="7D7C0F56"/>
    <w:rsid w:val="7D7C335B"/>
    <w:rsid w:val="7D8E76C5"/>
    <w:rsid w:val="7D8F24C5"/>
    <w:rsid w:val="7D916843"/>
    <w:rsid w:val="7DB55309"/>
    <w:rsid w:val="7DB624AC"/>
    <w:rsid w:val="7DDA2FF2"/>
    <w:rsid w:val="7DEC756E"/>
    <w:rsid w:val="7DF16019"/>
    <w:rsid w:val="7DFE19BF"/>
    <w:rsid w:val="7E0946C8"/>
    <w:rsid w:val="7E0F6A59"/>
    <w:rsid w:val="7E1636E5"/>
    <w:rsid w:val="7E2E1DA8"/>
    <w:rsid w:val="7E326AB1"/>
    <w:rsid w:val="7E377ED0"/>
    <w:rsid w:val="7E422725"/>
    <w:rsid w:val="7E657B2A"/>
    <w:rsid w:val="7E6C4ECA"/>
    <w:rsid w:val="7E9D7557"/>
    <w:rsid w:val="7EBA2BDC"/>
    <w:rsid w:val="7EC5260B"/>
    <w:rsid w:val="7ECA59B1"/>
    <w:rsid w:val="7ED46B20"/>
    <w:rsid w:val="7EDD2894"/>
    <w:rsid w:val="7EE95C7F"/>
    <w:rsid w:val="7EFA29C6"/>
    <w:rsid w:val="7F0C777F"/>
    <w:rsid w:val="7F1E035B"/>
    <w:rsid w:val="7F2C3C84"/>
    <w:rsid w:val="7F2C5814"/>
    <w:rsid w:val="7F3807C5"/>
    <w:rsid w:val="7F3B0B25"/>
    <w:rsid w:val="7F5434CC"/>
    <w:rsid w:val="7F564C23"/>
    <w:rsid w:val="7F5E437F"/>
    <w:rsid w:val="7F6874C7"/>
    <w:rsid w:val="7F85174D"/>
    <w:rsid w:val="7F923FF5"/>
    <w:rsid w:val="7FA805F5"/>
    <w:rsid w:val="7FAC589F"/>
    <w:rsid w:val="7FAF02BC"/>
    <w:rsid w:val="7FB1589C"/>
    <w:rsid w:val="7FB94AD7"/>
    <w:rsid w:val="7FC62490"/>
    <w:rsid w:val="7FCF7917"/>
    <w:rsid w:val="7FE7291F"/>
    <w:rsid w:val="7FEB5DBA"/>
    <w:rsid w:val="7FF54CAF"/>
    <w:rsid w:val="7FF9053C"/>
    <w:rsid w:val="7FFB55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qFormat="1" w:uiPriority="99"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keepNext/>
      <w:keepLines/>
      <w:spacing w:before="340" w:after="330" w:line="578" w:lineRule="auto"/>
      <w:outlineLvl w:val="0"/>
    </w:pPr>
    <w:rPr>
      <w:b/>
      <w:bCs/>
      <w:kern w:val="44"/>
      <w:sz w:val="44"/>
      <w:szCs w:val="44"/>
    </w:rPr>
  </w:style>
  <w:style w:type="paragraph" w:styleId="4">
    <w:name w:val="heading 2"/>
    <w:basedOn w:val="1"/>
    <w:next w:val="1"/>
    <w:qFormat/>
    <w:uiPriority w:val="0"/>
    <w:pPr>
      <w:keepNext/>
      <w:spacing w:before="240" w:beforeLines="100" w:after="240" w:afterLines="100"/>
      <w:jc w:val="center"/>
      <w:outlineLvl w:val="1"/>
    </w:pPr>
    <w:rPr>
      <w:rFonts w:ascii="宋体" w:hAnsi="宋体" w:eastAsia="黑体"/>
      <w:b/>
      <w:color w:val="000000"/>
      <w:sz w:val="30"/>
    </w:rPr>
  </w:style>
  <w:style w:type="paragraph" w:styleId="5">
    <w:name w:val="heading 3"/>
    <w:basedOn w:val="1"/>
    <w:next w:val="1"/>
    <w:unhideWhenUsed/>
    <w:qFormat/>
    <w:uiPriority w:val="0"/>
    <w:pPr>
      <w:keepNext/>
      <w:keepLines/>
      <w:ind w:firstLine="0" w:firstLineChars="0"/>
      <w:outlineLvl w:val="2"/>
    </w:pPr>
    <w:rPr>
      <w:b/>
      <w:bCs/>
      <w:szCs w:val="32"/>
    </w:rPr>
  </w:style>
  <w:style w:type="paragraph" w:styleId="6">
    <w:name w:val="heading 4"/>
    <w:basedOn w:val="1"/>
    <w:next w:val="1"/>
    <w:qFormat/>
    <w:uiPriority w:val="0"/>
    <w:pPr>
      <w:keepNext/>
      <w:spacing w:line="540" w:lineRule="exact"/>
      <w:outlineLvl w:val="3"/>
    </w:pPr>
    <w:rPr>
      <w:rFonts w:ascii="宋体" w:hAnsi="宋体"/>
      <w:spacing w:val="8"/>
      <w:sz w:val="28"/>
    </w:rPr>
  </w:style>
  <w:style w:type="paragraph" w:styleId="7">
    <w:name w:val="heading 5"/>
    <w:basedOn w:val="1"/>
    <w:next w:val="1"/>
    <w:qFormat/>
    <w:uiPriority w:val="0"/>
    <w:pPr>
      <w:keepNext/>
      <w:framePr w:hSpace="180" w:wrap="around" w:vAnchor="text" w:hAnchor="margin" w:x="72" w:y="158"/>
      <w:jc w:val="center"/>
      <w:outlineLvl w:val="4"/>
    </w:pPr>
    <w:rPr>
      <w:rFonts w:ascii="宋体" w:hAnsi="宋体"/>
      <w:sz w:val="28"/>
    </w:rPr>
  </w:style>
  <w:style w:type="character" w:default="1" w:styleId="27">
    <w:name w:val="Default Paragraph Font"/>
    <w:semiHidden/>
    <w:qFormat/>
    <w:uiPriority w:val="0"/>
  </w:style>
  <w:style w:type="table" w:default="1" w:styleId="25">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99"/>
    <w:pPr>
      <w:spacing w:after="120"/>
    </w:pPr>
  </w:style>
  <w:style w:type="paragraph" w:styleId="8">
    <w:name w:val="Normal Indent"/>
    <w:basedOn w:val="1"/>
    <w:qFormat/>
    <w:uiPriority w:val="0"/>
    <w:pPr>
      <w:ind w:firstLine="420"/>
    </w:pPr>
  </w:style>
  <w:style w:type="paragraph" w:styleId="9">
    <w:name w:val="toa heading"/>
    <w:basedOn w:val="1"/>
    <w:next w:val="1"/>
    <w:semiHidden/>
    <w:qFormat/>
    <w:uiPriority w:val="0"/>
    <w:pPr>
      <w:spacing w:before="120"/>
    </w:pPr>
    <w:rPr>
      <w:rFonts w:ascii="Arial" w:hAnsi="Arial" w:cs="Arial"/>
      <w:sz w:val="24"/>
    </w:rPr>
  </w:style>
  <w:style w:type="paragraph" w:styleId="10">
    <w:name w:val="annotation text"/>
    <w:basedOn w:val="1"/>
    <w:qFormat/>
    <w:uiPriority w:val="0"/>
    <w:pPr>
      <w:jc w:val="left"/>
    </w:pPr>
  </w:style>
  <w:style w:type="paragraph" w:styleId="11">
    <w:name w:val="index 6"/>
    <w:basedOn w:val="1"/>
    <w:next w:val="1"/>
    <w:qFormat/>
    <w:uiPriority w:val="0"/>
    <w:pPr>
      <w:ind w:left="1000" w:leftChars="1000"/>
    </w:pPr>
  </w:style>
  <w:style w:type="paragraph" w:styleId="12">
    <w:name w:val="Body Text Indent"/>
    <w:basedOn w:val="1"/>
    <w:qFormat/>
    <w:uiPriority w:val="0"/>
    <w:pPr>
      <w:ind w:firstLine="524" w:firstLineChars="187"/>
    </w:pPr>
    <w:rPr>
      <w:sz w:val="28"/>
    </w:rPr>
  </w:style>
  <w:style w:type="paragraph" w:styleId="13">
    <w:name w:val="Plain Text"/>
    <w:basedOn w:val="1"/>
    <w:qFormat/>
    <w:uiPriority w:val="0"/>
    <w:rPr>
      <w:rFonts w:ascii="宋体" w:hAnsi="Courier New"/>
      <w:szCs w:val="21"/>
    </w:rPr>
  </w:style>
  <w:style w:type="paragraph" w:styleId="14">
    <w:name w:val="Date"/>
    <w:basedOn w:val="1"/>
    <w:next w:val="1"/>
    <w:qFormat/>
    <w:uiPriority w:val="0"/>
    <w:pPr>
      <w:ind w:left="100" w:leftChars="2500"/>
    </w:pPr>
  </w:style>
  <w:style w:type="paragraph" w:styleId="15">
    <w:name w:val="Body Text Indent 2"/>
    <w:basedOn w:val="1"/>
    <w:qFormat/>
    <w:uiPriority w:val="0"/>
    <w:pPr>
      <w:spacing w:line="420" w:lineRule="exact"/>
      <w:ind w:firstLine="198"/>
    </w:pPr>
    <w:rPr>
      <w:rFonts w:ascii="宋体" w:hAnsi="宋体"/>
      <w:sz w:val="28"/>
    </w:rPr>
  </w:style>
  <w:style w:type="paragraph" w:styleId="16">
    <w:name w:val="footer"/>
    <w:basedOn w:val="1"/>
    <w:next w:val="1"/>
    <w:qFormat/>
    <w:uiPriority w:val="0"/>
    <w:pPr>
      <w:tabs>
        <w:tab w:val="center" w:pos="4153"/>
        <w:tab w:val="right" w:pos="8306"/>
      </w:tabs>
      <w:snapToGrid w:val="0"/>
      <w:jc w:val="left"/>
    </w:pPr>
    <w:rPr>
      <w:sz w:val="18"/>
    </w:rPr>
  </w:style>
  <w:style w:type="paragraph" w:styleId="17">
    <w:name w:val="header"/>
    <w:basedOn w:val="1"/>
    <w:next w:val="12"/>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8">
    <w:name w:val="toc 1"/>
    <w:basedOn w:val="1"/>
    <w:next w:val="1"/>
    <w:semiHidden/>
    <w:qFormat/>
    <w:uiPriority w:val="0"/>
    <w:pPr>
      <w:tabs>
        <w:tab w:val="right" w:leader="dot" w:pos="9061"/>
      </w:tabs>
      <w:spacing w:line="600" w:lineRule="exact"/>
    </w:pPr>
    <w:rPr>
      <w:rFonts w:ascii="宋体" w:hAnsi="宋体"/>
      <w:b/>
      <w:sz w:val="24"/>
    </w:rPr>
  </w:style>
  <w:style w:type="paragraph" w:styleId="19">
    <w:name w:val="Body Text Indent 3"/>
    <w:basedOn w:val="1"/>
    <w:qFormat/>
    <w:uiPriority w:val="0"/>
    <w:pPr>
      <w:ind w:firstLine="720"/>
    </w:pPr>
    <w:rPr>
      <w:rFonts w:ascii="宋体" w:hAnsi="宋体"/>
      <w:sz w:val="28"/>
    </w:rPr>
  </w:style>
  <w:style w:type="paragraph" w:styleId="20">
    <w:name w:val="table of figures"/>
    <w:basedOn w:val="1"/>
    <w:next w:val="1"/>
    <w:unhideWhenUsed/>
    <w:qFormat/>
    <w:uiPriority w:val="99"/>
    <w:pPr>
      <w:ind w:left="200" w:leftChars="200" w:hanging="200" w:hangingChars="200"/>
    </w:pPr>
  </w:style>
  <w:style w:type="paragraph" w:styleId="21">
    <w:name w:val="toc 2"/>
    <w:basedOn w:val="1"/>
    <w:next w:val="1"/>
    <w:semiHidden/>
    <w:qFormat/>
    <w:uiPriority w:val="0"/>
    <w:pPr>
      <w:spacing w:line="600" w:lineRule="exact"/>
      <w:ind w:left="200" w:leftChars="200"/>
    </w:pPr>
    <w:rPr>
      <w:sz w:val="24"/>
    </w:rPr>
  </w:style>
  <w:style w:type="paragraph" w:styleId="22">
    <w:name w:val="Normal (Web)"/>
    <w:basedOn w:val="1"/>
    <w:qFormat/>
    <w:uiPriority w:val="0"/>
    <w:pPr>
      <w:spacing w:before="100" w:beforeAutospacing="1" w:after="100" w:afterAutospacing="1"/>
      <w:ind w:left="0" w:right="0"/>
      <w:jc w:val="left"/>
    </w:pPr>
    <w:rPr>
      <w:kern w:val="0"/>
      <w:sz w:val="24"/>
      <w:lang w:val="en-US" w:eastAsia="zh-CN" w:bidi="ar"/>
    </w:rPr>
  </w:style>
  <w:style w:type="paragraph" w:styleId="23">
    <w:name w:val="Body Text First Indent"/>
    <w:basedOn w:val="2"/>
    <w:qFormat/>
    <w:uiPriority w:val="0"/>
    <w:pPr>
      <w:ind w:firstLine="420" w:firstLineChars="100"/>
    </w:pPr>
  </w:style>
  <w:style w:type="paragraph" w:styleId="24">
    <w:name w:val="Body Text First Indent 2"/>
    <w:basedOn w:val="12"/>
    <w:qFormat/>
    <w:uiPriority w:val="0"/>
    <w:pPr>
      <w:spacing w:after="120"/>
      <w:ind w:left="420" w:leftChars="200" w:firstLine="420"/>
    </w:pPr>
    <w:rPr>
      <w:szCs w:val="20"/>
    </w:rPr>
  </w:style>
  <w:style w:type="table" w:styleId="26">
    <w:name w:val="Table Grid"/>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0"/>
    <w:rPr>
      <w:b/>
    </w:rPr>
  </w:style>
  <w:style w:type="character" w:styleId="29">
    <w:name w:val="page number"/>
    <w:basedOn w:val="27"/>
    <w:qFormat/>
    <w:uiPriority w:val="0"/>
  </w:style>
  <w:style w:type="paragraph" w:customStyle="1" w:styleId="30">
    <w:name w:val="yu附图目录"/>
    <w:basedOn w:val="31"/>
    <w:qFormat/>
    <w:uiPriority w:val="99"/>
    <w:pPr>
      <w:spacing w:line="480" w:lineRule="auto"/>
      <w:ind w:left="-113" w:right="-113"/>
      <w:jc w:val="center"/>
    </w:pPr>
    <w:rPr>
      <w:rFonts w:eastAsia="仿宋_GB2312"/>
      <w:sz w:val="24"/>
      <w:szCs w:val="24"/>
    </w:rPr>
  </w:style>
  <w:style w:type="paragraph" w:customStyle="1" w:styleId="31">
    <w:name w:val="bg表内容"/>
    <w:basedOn w:val="32"/>
    <w:next w:val="33"/>
    <w:qFormat/>
    <w:uiPriority w:val="0"/>
    <w:pPr>
      <w:ind w:left="-113" w:right="-113"/>
      <w:jc w:val="center"/>
    </w:pPr>
    <w:rPr>
      <w:sz w:val="18"/>
    </w:rPr>
  </w:style>
  <w:style w:type="paragraph" w:customStyle="1" w:styleId="32">
    <w:name w:val="bg正文"/>
    <w:basedOn w:val="1"/>
    <w:qFormat/>
    <w:uiPriority w:val="0"/>
  </w:style>
  <w:style w:type="paragraph" w:customStyle="1" w:styleId="33">
    <w:name w:val="bg正文首行缩进"/>
    <w:basedOn w:val="32"/>
    <w:qFormat/>
    <w:uiPriority w:val="0"/>
    <w:pPr>
      <w:spacing w:line="400" w:lineRule="exact"/>
      <w:ind w:firstLine="482"/>
    </w:pPr>
    <w:rPr>
      <w:rFonts w:ascii="Times New Roman" w:hAnsi="Times New Roman"/>
      <w:sz w:val="24"/>
    </w:rPr>
  </w:style>
  <w:style w:type="paragraph" w:customStyle="1" w:styleId="34">
    <w:name w:val="p0"/>
    <w:basedOn w:val="1"/>
    <w:next w:val="17"/>
    <w:qFormat/>
    <w:uiPriority w:val="0"/>
    <w:pPr>
      <w:widowControl/>
      <w:spacing w:line="365" w:lineRule="atLeast"/>
      <w:ind w:left="1"/>
      <w:textAlignment w:val="bottom"/>
    </w:pPr>
    <w:rPr>
      <w:kern w:val="0"/>
      <w:sz w:val="20"/>
    </w:rPr>
  </w:style>
  <w:style w:type="paragraph" w:customStyle="1" w:styleId="35">
    <w:name w:val="h正文"/>
    <w:basedOn w:val="1"/>
    <w:qFormat/>
    <w:uiPriority w:val="0"/>
    <w:pPr>
      <w:adjustRightInd w:val="0"/>
      <w:snapToGrid w:val="0"/>
      <w:spacing w:line="500" w:lineRule="exact"/>
      <w:ind w:firstLine="200" w:firstLineChars="200"/>
    </w:pPr>
    <w:rPr>
      <w:rFonts w:ascii="宋体" w:hAnsi="宋体"/>
      <w:kern w:val="0"/>
      <w:sz w:val="24"/>
      <w:szCs w:val="28"/>
    </w:rPr>
  </w:style>
  <w:style w:type="paragraph" w:customStyle="1" w:styleId="36">
    <w:name w:val="样式 样式 样式 宋体 四号 加粗 行距: 固定值 28 磅 + 小四 首行缩进:  2 字符 + 首行缩进:  2 字符"/>
    <w:basedOn w:val="37"/>
    <w:qFormat/>
    <w:uiPriority w:val="0"/>
    <w:pPr>
      <w:spacing w:before="0" w:beforeLines="0" w:after="0" w:afterLines="0"/>
      <w:ind w:firstLine="480"/>
    </w:pPr>
    <w:rPr>
      <w:b/>
      <w:color w:val="0000FF"/>
      <w:sz w:val="24"/>
      <w:szCs w:val="20"/>
    </w:rPr>
  </w:style>
  <w:style w:type="paragraph" w:customStyle="1" w:styleId="37">
    <w:name w:val="样式 样式 宋体 四号 加粗 行距: 固定值 28 磅 + 小四 首行缩进:  2 字符"/>
    <w:basedOn w:val="38"/>
    <w:qFormat/>
    <w:uiPriority w:val="0"/>
    <w:pPr>
      <w:ind w:firstLine="561"/>
    </w:pPr>
    <w:rPr>
      <w:sz w:val="28"/>
    </w:rPr>
  </w:style>
  <w:style w:type="paragraph" w:customStyle="1" w:styleId="38">
    <w:name w:val="样式 宋体 四号 加粗 行距: 固定值 28 磅"/>
    <w:basedOn w:val="1"/>
    <w:qFormat/>
    <w:uiPriority w:val="0"/>
    <w:pPr>
      <w:snapToGrid w:val="0"/>
      <w:spacing w:line="560" w:lineRule="exact"/>
      <w:ind w:firstLine="480" w:firstLineChars="200"/>
    </w:pPr>
    <w:rPr>
      <w:rFonts w:ascii="宋体" w:hAnsi="宋体" w:cs="宋体"/>
      <w:bCs/>
      <w:color w:val="0000FF"/>
      <w:sz w:val="24"/>
    </w:rPr>
  </w:style>
  <w:style w:type="paragraph" w:customStyle="1" w:styleId="39">
    <w:name w:val="3正文"/>
    <w:basedOn w:val="1"/>
    <w:qFormat/>
    <w:uiPriority w:val="0"/>
    <w:pPr>
      <w:spacing w:line="520" w:lineRule="exact"/>
      <w:ind w:firstLine="480" w:firstLineChars="200"/>
    </w:pPr>
    <w:rPr>
      <w:rFonts w:ascii="仿宋_GB2312" w:hAnsi="华文中宋" w:eastAsia="仿宋_GB2312"/>
      <w:sz w:val="28"/>
    </w:rPr>
  </w:style>
  <w:style w:type="paragraph" w:customStyle="1" w:styleId="40">
    <w:name w:val="样式 样式 样式 标题 2 + 段前: 1 行 段后: 1 行 + 段前: 1 行 段后: 1 行 + 自动设置"/>
    <w:basedOn w:val="41"/>
    <w:qFormat/>
    <w:uiPriority w:val="0"/>
    <w:pPr>
      <w:spacing w:before="156" w:beforeLines="50" w:after="156" w:afterLines="50" w:line="560" w:lineRule="exact"/>
    </w:pPr>
    <w:rPr>
      <w:color w:val="auto"/>
      <w:sz w:val="28"/>
      <w:szCs w:val="28"/>
    </w:rPr>
  </w:style>
  <w:style w:type="paragraph" w:customStyle="1" w:styleId="41">
    <w:name w:val="样式 样式 标题 2 + 段前: 1 行 段后: 1 行 + 段前: 1 行 段后: 1 行"/>
    <w:basedOn w:val="42"/>
    <w:qFormat/>
    <w:uiPriority w:val="0"/>
    <w:pPr>
      <w:spacing w:before="240" w:after="240"/>
    </w:pPr>
  </w:style>
  <w:style w:type="paragraph" w:customStyle="1" w:styleId="42">
    <w:name w:val="样式 标题 2 + 段前: 1 行 段后: 1 行"/>
    <w:basedOn w:val="4"/>
    <w:qFormat/>
    <w:uiPriority w:val="0"/>
    <w:pPr>
      <w:spacing w:before="100" w:after="100"/>
    </w:pPr>
    <w:rPr>
      <w:rFonts w:cs="宋体"/>
      <w:bCs/>
      <w:szCs w:val="20"/>
    </w:rPr>
  </w:style>
  <w:style w:type="character" w:customStyle="1" w:styleId="43">
    <w:name w:val="样式 宋体 小四"/>
    <w:qFormat/>
    <w:uiPriority w:val="0"/>
    <w:rPr>
      <w:rFonts w:ascii="宋体" w:hAnsi="宋体" w:eastAsia="宋体"/>
      <w:spacing w:val="8"/>
      <w:sz w:val="28"/>
    </w:rPr>
  </w:style>
  <w:style w:type="paragraph" w:customStyle="1" w:styleId="44">
    <w:name w:val="样式1"/>
    <w:basedOn w:val="18"/>
    <w:qFormat/>
    <w:uiPriority w:val="0"/>
    <w:pPr>
      <w:tabs>
        <w:tab w:val="right" w:leader="dot" w:pos="8296"/>
        <w:tab w:val="right" w:leader="dot" w:pos="9060"/>
        <w:tab w:val="clear" w:pos="9061"/>
      </w:tabs>
      <w:spacing w:line="560" w:lineRule="exact"/>
    </w:pPr>
    <w:rPr>
      <w:rFonts w:ascii="宋体" w:hAnsi="宋体"/>
      <w:sz w:val="28"/>
    </w:rPr>
  </w:style>
  <w:style w:type="paragraph" w:customStyle="1" w:styleId="45">
    <w:name w:val="Normal Indent1"/>
    <w:basedOn w:val="1"/>
    <w:qFormat/>
    <w:uiPriority w:val="0"/>
    <w:pPr>
      <w:adjustRightInd/>
      <w:spacing w:line="240" w:lineRule="auto"/>
      <w:ind w:firstLine="420" w:firstLineChars="200"/>
      <w:textAlignment w:val="auto"/>
    </w:pPr>
    <w:rPr>
      <w:rFonts w:ascii="Calibri" w:hAnsi="Calibri"/>
      <w:kern w:val="2"/>
      <w:sz w:val="21"/>
      <w:szCs w:val="22"/>
    </w:rPr>
  </w:style>
  <w:style w:type="paragraph" w:customStyle="1" w:styleId="46">
    <w:name w:val="061209正文样式 Char"/>
    <w:basedOn w:val="8"/>
    <w:qFormat/>
    <w:uiPriority w:val="0"/>
    <w:pPr>
      <w:adjustRightInd w:val="0"/>
      <w:spacing w:line="360" w:lineRule="auto"/>
      <w:ind w:firstLine="480"/>
    </w:pPr>
    <w:rPr>
      <w:rFonts w:ascii="Calibri" w:hAnsi="Calibri" w:eastAsia="宋体" w:cs="Times New Roman"/>
      <w:bCs/>
      <w:snapToGrid/>
    </w:rPr>
  </w:style>
  <w:style w:type="paragraph" w:customStyle="1" w:styleId="47">
    <w:name w:val="图标"/>
    <w:basedOn w:val="20"/>
    <w:qFormat/>
    <w:uiPriority w:val="0"/>
    <w:pPr>
      <w:ind w:left="0" w:leftChars="0" w:firstLine="0" w:firstLineChars="0"/>
      <w:jc w:val="center"/>
      <w:textAlignment w:val="center"/>
    </w:pPr>
    <w:rPr>
      <w:rFonts w:ascii="Calibri" w:hAnsi="Calibri" w:eastAsia="黑体" w:cs="Times New Roman"/>
      <w:b/>
      <w:szCs w:val="21"/>
    </w:rPr>
  </w:style>
  <w:style w:type="paragraph" w:customStyle="1" w:styleId="48">
    <w:name w:val="样式 标题 1 + 宋体 三号 居中 段前: 0 磅 段后: 0 磅 行距: 固定值 28 磅"/>
    <w:basedOn w:val="3"/>
    <w:qFormat/>
    <w:uiPriority w:val="0"/>
    <w:pPr>
      <w:spacing w:before="0" w:after="0" w:line="560" w:lineRule="exact"/>
      <w:jc w:val="center"/>
    </w:pPr>
    <w:rPr>
      <w:rFonts w:ascii="宋体" w:hAnsi="宋体" w:eastAsia="黑体" w:cs="宋体"/>
      <w:color w:val="000000"/>
      <w:sz w:val="30"/>
      <w:szCs w:val="32"/>
    </w:rPr>
  </w:style>
  <w:style w:type="paragraph" w:customStyle="1" w:styleId="49">
    <w:name w:val="Char"/>
    <w:basedOn w:val="1"/>
    <w:qFormat/>
    <w:uiPriority w:val="0"/>
    <w:pPr>
      <w:ind w:firstLine="200" w:firstLineChars="200"/>
    </w:pPr>
    <w:rPr>
      <w:sz w:val="28"/>
      <w:szCs w:val="28"/>
    </w:rPr>
  </w:style>
  <w:style w:type="paragraph" w:customStyle="1" w:styleId="50">
    <w:name w:val="WPSOffice手动目录 1"/>
    <w:qFormat/>
    <w:uiPriority w:val="0"/>
    <w:pPr>
      <w:ind w:leftChars="0"/>
    </w:pPr>
    <w:rPr>
      <w:rFonts w:ascii="Times New Roman" w:hAnsi="Times New Roman" w:eastAsia="宋体" w:cs="Times New Roman"/>
      <w:sz w:val="20"/>
      <w:szCs w:val="20"/>
    </w:rPr>
  </w:style>
  <w:style w:type="paragraph" w:customStyle="1" w:styleId="51">
    <w:name w:val="WPSOffice手动目录 2"/>
    <w:qFormat/>
    <w:uiPriority w:val="0"/>
    <w:pPr>
      <w:ind w:leftChars="200"/>
    </w:pPr>
    <w:rPr>
      <w:rFonts w:ascii="Times New Roman" w:hAnsi="Times New Roman" w:eastAsia="宋体" w:cs="Times New Roman"/>
      <w:sz w:val="20"/>
      <w:szCs w:val="20"/>
    </w:rPr>
  </w:style>
  <w:style w:type="paragraph" w:customStyle="1" w:styleId="52">
    <w:name w:val="1公式"/>
    <w:basedOn w:val="1"/>
    <w:next w:val="1"/>
    <w:qFormat/>
    <w:uiPriority w:val="0"/>
    <w:pPr>
      <w:ind w:firstLine="0" w:firstLineChars="0"/>
      <w:jc w:val="center"/>
    </w:pPr>
    <w:rPr>
      <w:kern w:val="0"/>
    </w:rPr>
  </w:style>
  <w:style w:type="paragraph" w:customStyle="1" w:styleId="53">
    <w:name w:val="1公式说明"/>
    <w:basedOn w:val="1"/>
    <w:next w:val="1"/>
    <w:qFormat/>
    <w:uiPriority w:val="0"/>
    <w:pPr>
      <w:adjustRightInd w:val="0"/>
      <w:spacing w:line="460" w:lineRule="exact"/>
      <w:ind w:left="800" w:leftChars="500" w:hanging="300" w:hangingChars="300"/>
    </w:pPr>
    <w:rPr>
      <w:kern w:val="0"/>
    </w:rPr>
  </w:style>
  <w:style w:type="table" w:customStyle="1" w:styleId="54">
    <w:name w:val="TableGrid"/>
    <w:qFormat/>
    <w:uiPriority w:val="0"/>
    <w:rPr>
      <w14:ligatures w14:val="standardContextual"/>
    </w:rPr>
    <w:tblPr>
      <w:tblCellMar>
        <w:top w:w="0" w:type="dxa"/>
        <w:left w:w="0" w:type="dxa"/>
        <w:bottom w:w="0" w:type="dxa"/>
        <w:right w:w="0" w:type="dxa"/>
      </w:tblCellMar>
    </w:tblPr>
  </w:style>
  <w:style w:type="paragraph" w:customStyle="1" w:styleId="55">
    <w:name w:val="图表名"/>
    <w:basedOn w:val="1"/>
    <w:qFormat/>
    <w:uiPriority w:val="0"/>
    <w:pPr>
      <w:ind w:firstLine="0" w:firstLineChars="0"/>
      <w:jc w:val="center"/>
    </w:pPr>
    <w:rPr>
      <w:sz w:val="21"/>
    </w:rPr>
  </w:style>
  <w:style w:type="table" w:customStyle="1" w:styleId="56">
    <w:name w:val="网格型11"/>
    <w:basedOn w:val="25"/>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7">
    <w:name w:val="红会正文"/>
    <w:basedOn w:val="1"/>
    <w:qFormat/>
    <w:uiPriority w:val="0"/>
    <w:pPr>
      <w:spacing w:line="560" w:lineRule="exact"/>
      <w:ind w:firstLine="480" w:firstLineChars="200"/>
    </w:pPr>
    <w:rPr>
      <w:rFonts w:ascii="宋体" w:hAnsi="宋体" w:eastAsia="宋体" w:cstheme="minorEastAsia"/>
      <w:sz w:val="24"/>
    </w:rPr>
  </w:style>
  <w:style w:type="paragraph" w:customStyle="1" w:styleId="58">
    <w:name w:val="图题"/>
    <w:basedOn w:val="1"/>
    <w:qFormat/>
    <w:uiPriority w:val="0"/>
    <w:pPr>
      <w:spacing w:line="276" w:lineRule="auto"/>
      <w:ind w:firstLine="0" w:firstLineChars="0"/>
      <w:jc w:val="center"/>
    </w:pPr>
    <w:rPr>
      <w:sz w:val="21"/>
      <w:szCs w:val="21"/>
    </w:rPr>
  </w:style>
  <w:style w:type="character" w:customStyle="1" w:styleId="59">
    <w:name w:val="font21"/>
    <w:basedOn w:val="27"/>
    <w:qFormat/>
    <w:uiPriority w:val="0"/>
    <w:rPr>
      <w:rFonts w:hint="eastAsia" w:ascii="宋体" w:hAnsi="宋体" w:eastAsia="宋体" w:cs="宋体"/>
      <w:color w:val="000000"/>
      <w:sz w:val="21"/>
      <w:szCs w:val="21"/>
      <w:u w:val="none"/>
    </w:rPr>
  </w:style>
  <w:style w:type="character" w:customStyle="1" w:styleId="60">
    <w:name w:val="font11"/>
    <w:basedOn w:val="27"/>
    <w:qFormat/>
    <w:uiPriority w:val="0"/>
    <w:rPr>
      <w:rFonts w:hint="eastAsia" w:ascii="黑体" w:hAnsi="宋体" w:eastAsia="黑体" w:cs="黑体"/>
      <w:color w:val="000000"/>
      <w:sz w:val="21"/>
      <w:szCs w:val="21"/>
      <w:u w:val="none"/>
    </w:rPr>
  </w:style>
  <w:style w:type="paragraph" w:customStyle="1" w:styleId="61">
    <w:name w:val="勘察文1"/>
    <w:basedOn w:val="1"/>
    <w:qFormat/>
    <w:uiPriority w:val="0"/>
    <w:pPr>
      <w:spacing w:line="560" w:lineRule="exact"/>
      <w:ind w:firstLine="602" w:firstLineChars="200"/>
      <w:jc w:val="both"/>
      <w:outlineLvl w:val="9"/>
    </w:pPr>
    <w:rPr>
      <w:rFonts w:hint="default" w:ascii="宋体" w:hAnsi="宋体" w:eastAsia="宋体"/>
      <w:bCs/>
      <w:sz w:val="24"/>
    </w:rPr>
  </w:style>
  <w:style w:type="paragraph" w:styleId="62">
    <w:name w:val="List Paragraph"/>
    <w:basedOn w:val="1"/>
    <w:qFormat/>
    <w:uiPriority w:val="0"/>
    <w:pPr>
      <w:ind w:left="720"/>
      <w:contextualSpacing/>
    </w:pPr>
  </w:style>
</w:styles>
</file>

<file path=word/_rels/document.xml.rels><?xml version="1.0" encoding="UTF-8" standalone="yes"?>
<Relationships xmlns="http://schemas.openxmlformats.org/package/2006/relationships"><Relationship Id="rId99" Type="http://schemas.openxmlformats.org/officeDocument/2006/relationships/image" Target="media/image67.png"/><Relationship Id="rId98" Type="http://schemas.openxmlformats.org/officeDocument/2006/relationships/image" Target="media/image66.png"/><Relationship Id="rId97" Type="http://schemas.openxmlformats.org/officeDocument/2006/relationships/image" Target="media/image65.png"/><Relationship Id="rId96" Type="http://schemas.openxmlformats.org/officeDocument/2006/relationships/image" Target="media/image64.png"/><Relationship Id="rId95" Type="http://schemas.openxmlformats.org/officeDocument/2006/relationships/image" Target="media/image63.png"/><Relationship Id="rId94" Type="http://schemas.openxmlformats.org/officeDocument/2006/relationships/image" Target="media/image62.png"/><Relationship Id="rId93" Type="http://schemas.openxmlformats.org/officeDocument/2006/relationships/image" Target="media/image61.png"/><Relationship Id="rId92" Type="http://schemas.openxmlformats.org/officeDocument/2006/relationships/image" Target="media/image60.png"/><Relationship Id="rId91" Type="http://schemas.openxmlformats.org/officeDocument/2006/relationships/image" Target="media/image59.png"/><Relationship Id="rId90" Type="http://schemas.openxmlformats.org/officeDocument/2006/relationships/image" Target="media/image58.png"/><Relationship Id="rId9" Type="http://schemas.openxmlformats.org/officeDocument/2006/relationships/header" Target="header4.xml"/><Relationship Id="rId89" Type="http://schemas.openxmlformats.org/officeDocument/2006/relationships/image" Target="media/image57.png"/><Relationship Id="rId88" Type="http://schemas.openxmlformats.org/officeDocument/2006/relationships/image" Target="media/image56.png"/><Relationship Id="rId87" Type="http://schemas.openxmlformats.org/officeDocument/2006/relationships/image" Target="media/image55.png"/><Relationship Id="rId86" Type="http://schemas.openxmlformats.org/officeDocument/2006/relationships/image" Target="media/image54.png"/><Relationship Id="rId85" Type="http://schemas.openxmlformats.org/officeDocument/2006/relationships/image" Target="media/image53.png"/><Relationship Id="rId84" Type="http://schemas.openxmlformats.org/officeDocument/2006/relationships/image" Target="media/image52.png"/><Relationship Id="rId83" Type="http://schemas.openxmlformats.org/officeDocument/2006/relationships/image" Target="media/image51.png"/><Relationship Id="rId82" Type="http://schemas.openxmlformats.org/officeDocument/2006/relationships/image" Target="media/image50.png"/><Relationship Id="rId81" Type="http://schemas.openxmlformats.org/officeDocument/2006/relationships/image" Target="media/image49.png"/><Relationship Id="rId80" Type="http://schemas.openxmlformats.org/officeDocument/2006/relationships/image" Target="media/image48.png"/><Relationship Id="rId8" Type="http://schemas.openxmlformats.org/officeDocument/2006/relationships/header" Target="header3.xml"/><Relationship Id="rId79" Type="http://schemas.openxmlformats.org/officeDocument/2006/relationships/image" Target="media/image47.png"/><Relationship Id="rId78" Type="http://schemas.openxmlformats.org/officeDocument/2006/relationships/image" Target="media/image46.png"/><Relationship Id="rId77" Type="http://schemas.openxmlformats.org/officeDocument/2006/relationships/image" Target="media/image45.png"/><Relationship Id="rId76" Type="http://schemas.openxmlformats.org/officeDocument/2006/relationships/image" Target="media/image44.emf"/><Relationship Id="rId75" Type="http://schemas.openxmlformats.org/officeDocument/2006/relationships/image" Target="media/image43.png"/><Relationship Id="rId74" Type="http://schemas.openxmlformats.org/officeDocument/2006/relationships/image" Target="media/image42.png"/><Relationship Id="rId73" Type="http://schemas.openxmlformats.org/officeDocument/2006/relationships/image" Target="media/image41.png"/><Relationship Id="rId72" Type="http://schemas.openxmlformats.org/officeDocument/2006/relationships/image" Target="media/image40.png"/><Relationship Id="rId71" Type="http://schemas.openxmlformats.org/officeDocument/2006/relationships/image" Target="media/image39.png"/><Relationship Id="rId70" Type="http://schemas.openxmlformats.org/officeDocument/2006/relationships/image" Target="media/image38.png"/><Relationship Id="rId7" Type="http://schemas.openxmlformats.org/officeDocument/2006/relationships/footer" Target="footer3.xml"/><Relationship Id="rId69" Type="http://schemas.openxmlformats.org/officeDocument/2006/relationships/image" Target="media/image37.png"/><Relationship Id="rId68" Type="http://schemas.openxmlformats.org/officeDocument/2006/relationships/image" Target="media/image36.png"/><Relationship Id="rId67" Type="http://schemas.openxmlformats.org/officeDocument/2006/relationships/image" Target="media/image35.png"/><Relationship Id="rId66" Type="http://schemas.openxmlformats.org/officeDocument/2006/relationships/image" Target="media/image34.png"/><Relationship Id="rId65" Type="http://schemas.openxmlformats.org/officeDocument/2006/relationships/image" Target="media/image33.png"/><Relationship Id="rId64" Type="http://schemas.openxmlformats.org/officeDocument/2006/relationships/image" Target="media/image32.png"/><Relationship Id="rId63" Type="http://schemas.openxmlformats.org/officeDocument/2006/relationships/image" Target="media/image31.png"/><Relationship Id="rId62" Type="http://schemas.openxmlformats.org/officeDocument/2006/relationships/image" Target="media/image30.png"/><Relationship Id="rId61" Type="http://schemas.openxmlformats.org/officeDocument/2006/relationships/image" Target="media/image29.png"/><Relationship Id="rId60" Type="http://schemas.openxmlformats.org/officeDocument/2006/relationships/image" Target="media/image28.png"/><Relationship Id="rId6" Type="http://schemas.openxmlformats.org/officeDocument/2006/relationships/header" Target="header2.xml"/><Relationship Id="rId59" Type="http://schemas.openxmlformats.org/officeDocument/2006/relationships/image" Target="media/image27.png"/><Relationship Id="rId58" Type="http://schemas.openxmlformats.org/officeDocument/2006/relationships/image" Target="media/image26.png"/><Relationship Id="rId57" Type="http://schemas.openxmlformats.org/officeDocument/2006/relationships/image" Target="media/image25.png"/><Relationship Id="rId56" Type="http://schemas.openxmlformats.org/officeDocument/2006/relationships/image" Target="media/image24.png"/><Relationship Id="rId55" Type="http://schemas.openxmlformats.org/officeDocument/2006/relationships/image" Target="media/image23.png"/><Relationship Id="rId54" Type="http://schemas.openxmlformats.org/officeDocument/2006/relationships/image" Target="media/image22.png"/><Relationship Id="rId53" Type="http://schemas.openxmlformats.org/officeDocument/2006/relationships/image" Target="media/image21.png"/><Relationship Id="rId52" Type="http://schemas.openxmlformats.org/officeDocument/2006/relationships/image" Target="media/image20.png"/><Relationship Id="rId51" Type="http://schemas.openxmlformats.org/officeDocument/2006/relationships/image" Target="media/image19.png"/><Relationship Id="rId50" Type="http://schemas.openxmlformats.org/officeDocument/2006/relationships/image" Target="media/image18.png"/><Relationship Id="rId5" Type="http://schemas.openxmlformats.org/officeDocument/2006/relationships/footer" Target="footer2.xml"/><Relationship Id="rId49" Type="http://schemas.openxmlformats.org/officeDocument/2006/relationships/oleObject" Target="embeddings/oleObject18.bin"/><Relationship Id="rId48" Type="http://schemas.openxmlformats.org/officeDocument/2006/relationships/oleObject" Target="embeddings/oleObject17.bin"/><Relationship Id="rId47" Type="http://schemas.openxmlformats.org/officeDocument/2006/relationships/oleObject" Target="embeddings/oleObject16.bin"/><Relationship Id="rId46" Type="http://schemas.openxmlformats.org/officeDocument/2006/relationships/oleObject" Target="embeddings/oleObject15.bin"/><Relationship Id="rId45" Type="http://schemas.openxmlformats.org/officeDocument/2006/relationships/oleObject" Target="embeddings/oleObject14.bin"/><Relationship Id="rId44" Type="http://schemas.openxmlformats.org/officeDocument/2006/relationships/oleObject" Target="embeddings/oleObject13.bin"/><Relationship Id="rId43" Type="http://schemas.openxmlformats.org/officeDocument/2006/relationships/oleObject" Target="embeddings/oleObject12.bin"/><Relationship Id="rId42" Type="http://schemas.openxmlformats.org/officeDocument/2006/relationships/oleObject" Target="embeddings/oleObject11.bin"/><Relationship Id="rId41" Type="http://schemas.openxmlformats.org/officeDocument/2006/relationships/oleObject" Target="embeddings/oleObject10.bin"/><Relationship Id="rId40" Type="http://schemas.openxmlformats.org/officeDocument/2006/relationships/image" Target="media/image17.png"/><Relationship Id="rId4" Type="http://schemas.openxmlformats.org/officeDocument/2006/relationships/footer" Target="footer1.xml"/><Relationship Id="rId39" Type="http://schemas.openxmlformats.org/officeDocument/2006/relationships/image" Target="media/image16.png"/><Relationship Id="rId38" Type="http://schemas.openxmlformats.org/officeDocument/2006/relationships/image" Target="media/image15.wmf"/><Relationship Id="rId37" Type="http://schemas.openxmlformats.org/officeDocument/2006/relationships/oleObject" Target="embeddings/oleObject9.bin"/><Relationship Id="rId36" Type="http://schemas.openxmlformats.org/officeDocument/2006/relationships/image" Target="media/image14.wmf"/><Relationship Id="rId35" Type="http://schemas.openxmlformats.org/officeDocument/2006/relationships/oleObject" Target="embeddings/oleObject8.bin"/><Relationship Id="rId34" Type="http://schemas.openxmlformats.org/officeDocument/2006/relationships/image" Target="media/image13.wmf"/><Relationship Id="rId33" Type="http://schemas.openxmlformats.org/officeDocument/2006/relationships/oleObject" Target="embeddings/oleObject7.bin"/><Relationship Id="rId32" Type="http://schemas.openxmlformats.org/officeDocument/2006/relationships/image" Target="media/image12.wmf"/><Relationship Id="rId31" Type="http://schemas.openxmlformats.org/officeDocument/2006/relationships/oleObject" Target="embeddings/oleObject6.bin"/><Relationship Id="rId30" Type="http://schemas.openxmlformats.org/officeDocument/2006/relationships/image" Target="media/image11.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0.wmf"/><Relationship Id="rId27" Type="http://schemas.openxmlformats.org/officeDocument/2006/relationships/oleObject" Target="embeddings/oleObject4.bin"/><Relationship Id="rId26" Type="http://schemas.openxmlformats.org/officeDocument/2006/relationships/image" Target="media/image9.wmf"/><Relationship Id="rId25" Type="http://schemas.openxmlformats.org/officeDocument/2006/relationships/oleObject" Target="embeddings/oleObject3.bin"/><Relationship Id="rId24" Type="http://schemas.openxmlformats.org/officeDocument/2006/relationships/image" Target="media/image8.wmf"/><Relationship Id="rId23" Type="http://schemas.openxmlformats.org/officeDocument/2006/relationships/oleObject" Target="embeddings/oleObject2.bin"/><Relationship Id="rId22" Type="http://schemas.openxmlformats.org/officeDocument/2006/relationships/image" Target="media/image7.wmf"/><Relationship Id="rId21" Type="http://schemas.openxmlformats.org/officeDocument/2006/relationships/oleObject" Target="embeddings/oleObject1.bin"/><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emf"/><Relationship Id="rId14" Type="http://schemas.openxmlformats.org/officeDocument/2006/relationships/theme" Target="theme/theme1.xml"/><Relationship Id="rId133" Type="http://schemas.openxmlformats.org/officeDocument/2006/relationships/fontTable" Target="fontTable.xml"/><Relationship Id="rId132" Type="http://schemas.openxmlformats.org/officeDocument/2006/relationships/customXml" Target="../customXml/item1.xml"/><Relationship Id="rId131" Type="http://schemas.openxmlformats.org/officeDocument/2006/relationships/image" Target="media/image99.png"/><Relationship Id="rId130" Type="http://schemas.openxmlformats.org/officeDocument/2006/relationships/image" Target="media/image98.png"/><Relationship Id="rId13" Type="http://schemas.openxmlformats.org/officeDocument/2006/relationships/header" Target="header8.xml"/><Relationship Id="rId129" Type="http://schemas.openxmlformats.org/officeDocument/2006/relationships/image" Target="media/image97.png"/><Relationship Id="rId128" Type="http://schemas.openxmlformats.org/officeDocument/2006/relationships/image" Target="media/image96.png"/><Relationship Id="rId127" Type="http://schemas.openxmlformats.org/officeDocument/2006/relationships/image" Target="media/image95.png"/><Relationship Id="rId126" Type="http://schemas.openxmlformats.org/officeDocument/2006/relationships/image" Target="media/image94.png"/><Relationship Id="rId125" Type="http://schemas.openxmlformats.org/officeDocument/2006/relationships/image" Target="media/image93.png"/><Relationship Id="rId124" Type="http://schemas.openxmlformats.org/officeDocument/2006/relationships/image" Target="media/image92.png"/><Relationship Id="rId123" Type="http://schemas.openxmlformats.org/officeDocument/2006/relationships/image" Target="media/image91.png"/><Relationship Id="rId122" Type="http://schemas.openxmlformats.org/officeDocument/2006/relationships/image" Target="media/image90.png"/><Relationship Id="rId121" Type="http://schemas.openxmlformats.org/officeDocument/2006/relationships/image" Target="media/image89.jpeg"/><Relationship Id="rId120" Type="http://schemas.openxmlformats.org/officeDocument/2006/relationships/image" Target="media/image88.png"/><Relationship Id="rId12" Type="http://schemas.openxmlformats.org/officeDocument/2006/relationships/header" Target="header7.xml"/><Relationship Id="rId119" Type="http://schemas.openxmlformats.org/officeDocument/2006/relationships/image" Target="media/image87.png"/><Relationship Id="rId118" Type="http://schemas.openxmlformats.org/officeDocument/2006/relationships/image" Target="media/image86.jpeg"/><Relationship Id="rId117" Type="http://schemas.openxmlformats.org/officeDocument/2006/relationships/image" Target="media/image85.png"/><Relationship Id="rId116" Type="http://schemas.openxmlformats.org/officeDocument/2006/relationships/image" Target="media/image84.png"/><Relationship Id="rId115" Type="http://schemas.openxmlformats.org/officeDocument/2006/relationships/image" Target="media/image83.png"/><Relationship Id="rId114" Type="http://schemas.openxmlformats.org/officeDocument/2006/relationships/image" Target="media/image82.png"/><Relationship Id="rId113" Type="http://schemas.openxmlformats.org/officeDocument/2006/relationships/image" Target="media/image81.png"/><Relationship Id="rId112" Type="http://schemas.openxmlformats.org/officeDocument/2006/relationships/image" Target="media/image80.png"/><Relationship Id="rId111" Type="http://schemas.openxmlformats.org/officeDocument/2006/relationships/image" Target="media/image79.png"/><Relationship Id="rId110" Type="http://schemas.openxmlformats.org/officeDocument/2006/relationships/image" Target="media/image78.png"/><Relationship Id="rId11" Type="http://schemas.openxmlformats.org/officeDocument/2006/relationships/header" Target="header6.xml"/><Relationship Id="rId109" Type="http://schemas.openxmlformats.org/officeDocument/2006/relationships/image" Target="media/image77.png"/><Relationship Id="rId108" Type="http://schemas.openxmlformats.org/officeDocument/2006/relationships/image" Target="media/image76.png"/><Relationship Id="rId107" Type="http://schemas.openxmlformats.org/officeDocument/2006/relationships/image" Target="media/image75.png"/><Relationship Id="rId106" Type="http://schemas.openxmlformats.org/officeDocument/2006/relationships/image" Target="media/image74.emf"/><Relationship Id="rId105" Type="http://schemas.openxmlformats.org/officeDocument/2006/relationships/image" Target="media/image73.emf"/><Relationship Id="rId104" Type="http://schemas.openxmlformats.org/officeDocument/2006/relationships/image" Target="media/image72.emf"/><Relationship Id="rId103" Type="http://schemas.openxmlformats.org/officeDocument/2006/relationships/image" Target="media/image71.emf"/><Relationship Id="rId102" Type="http://schemas.openxmlformats.org/officeDocument/2006/relationships/image" Target="media/image70.png"/><Relationship Id="rId101" Type="http://schemas.openxmlformats.org/officeDocument/2006/relationships/image" Target="media/image69.emf"/><Relationship Id="rId100" Type="http://schemas.openxmlformats.org/officeDocument/2006/relationships/image" Target="media/image68.png"/><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93</Pages>
  <Words>12278</Words>
  <Characters>13504</Characters>
  <Lines>0</Lines>
  <Paragraphs>0</Paragraphs>
  <TotalTime>1</TotalTime>
  <ScaleCrop>false</ScaleCrop>
  <LinksUpToDate>false</LinksUpToDate>
  <CharactersWithSpaces>13868</CharactersWithSpaces>
  <Application>WPS Office_11.8.2.9067_F1E327BC-269C-435d-A152-05C5408002CA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2021-09-12T10:34:00Z</dcterms:created>
  <dc:creator>Administrator</dc:creator>
  <cp:lastModifiedBy>龚真鹏</cp:lastModifiedBy>
  <cp:lastPrinted>2025-06-12T03:40:00Z</cp:lastPrinted>
  <dcterms:modified xsi:type="dcterms:W3CDTF">2026-03-14T02:41:16Z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2052-11.8.2.9067</vt:lpwstr>
  </property>
  <property fmtid="{D5CDD505-2E9C-101B-9397-08002B2CF9AE}" pid="3" name="ICV">
    <vt:lpwstr>AE70D1EDFAC94468821A472F4F0830C7_13</vt:lpwstr>
  </property>
  <property fmtid="{D5CDD505-2E9C-101B-9397-08002B2CF9AE}" pid="4" name="KSOTemplateDocerSaveRecord">
    <vt:lpwstr>eyJoZGlkIjoiN2Y1ZWU3MDY1ZmE0NDA1NDBkZmNjMDg1NjU2YTcwZjUiLCJ1c2VySWQiOiI2ODM5MzE1NjEifQ==</vt:lpwstr>
  </property>
</Properties>
</file>