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67DB79">
      <w:pPr>
        <w:bidi w:val="0"/>
        <w:rPr>
          <w:rFonts w:hint="eastAsia" w:ascii="黑体" w:hAnsi="黑体" w:eastAsia="黑体" w:cs="黑体"/>
          <w:sz w:val="44"/>
          <w:szCs w:val="44"/>
        </w:rPr>
      </w:pPr>
      <w:bookmarkStart w:id="0" w:name="_Toc207642912"/>
    </w:p>
    <w:p w14:paraId="5DB4802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44"/>
          <w:szCs w:val="44"/>
        </w:rPr>
      </w:pPr>
    </w:p>
    <w:p w14:paraId="24BC107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eastAsia" w:ascii="黑体" w:hAnsi="黑体" w:eastAsia="黑体" w:cs="黑体"/>
          <w:b w:val="0"/>
          <w:bCs/>
          <w:color w:val="333333"/>
          <w:kern w:val="2"/>
          <w:sz w:val="44"/>
          <w:szCs w:val="44"/>
          <w:lang w:val="en-US" w:eastAsia="zh-CN" w:bidi="ar-SA"/>
        </w:rPr>
      </w:pPr>
      <w:bookmarkStart w:id="1" w:name="_Toc207613981"/>
      <w:bookmarkStart w:id="2" w:name="_Toc207642468"/>
      <w:bookmarkStart w:id="3" w:name="_Toc207631278"/>
      <w:bookmarkStart w:id="4" w:name="_Toc207642910"/>
      <w:bookmarkStart w:id="5" w:name="_Toc207642406"/>
      <w:r>
        <w:rPr>
          <w:rFonts w:hint="eastAsia" w:ascii="黑体" w:hAnsi="黑体" w:eastAsia="黑体" w:cs="黑体"/>
          <w:b w:val="0"/>
          <w:bCs/>
          <w:color w:val="333333"/>
          <w:kern w:val="2"/>
          <w:sz w:val="44"/>
          <w:szCs w:val="44"/>
          <w:lang w:val="en-US" w:eastAsia="zh-CN" w:bidi="ar-SA"/>
        </w:rPr>
        <w:t>甘肃能源化工投资集团有限公司</w:t>
      </w:r>
    </w:p>
    <w:p w14:paraId="6BEDF4F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default" w:ascii="黑体" w:hAnsi="黑体" w:eastAsia="黑体" w:cs="黑体"/>
          <w:b w:val="0"/>
          <w:bCs/>
          <w:color w:val="333333"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333333"/>
          <w:kern w:val="2"/>
          <w:sz w:val="44"/>
          <w:szCs w:val="44"/>
          <w:lang w:val="en-US" w:eastAsia="zh-CN" w:bidi="ar-SA"/>
        </w:rPr>
        <w:t>数字化采购管理平台</w:t>
      </w:r>
      <w:bookmarkEnd w:id="1"/>
      <w:bookmarkEnd w:id="2"/>
      <w:bookmarkEnd w:id="3"/>
      <w:bookmarkEnd w:id="4"/>
      <w:bookmarkEnd w:id="5"/>
      <w:r>
        <w:rPr>
          <w:rFonts w:hint="eastAsia" w:ascii="黑体" w:hAnsi="黑体" w:eastAsia="黑体" w:cs="黑体"/>
          <w:b w:val="0"/>
          <w:bCs/>
          <w:color w:val="333333"/>
          <w:kern w:val="2"/>
          <w:sz w:val="44"/>
          <w:szCs w:val="44"/>
          <w:lang w:val="en-US" w:eastAsia="zh-CN" w:bidi="ar-SA"/>
        </w:rPr>
        <w:t>操作手册</w:t>
      </w:r>
    </w:p>
    <w:p w14:paraId="7D49B00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eastAsia" w:ascii="仿宋_GB2312" w:hAnsi="仿宋_GB2312" w:eastAsia="仿宋_GB2312" w:cs="仿宋_GB2312"/>
          <w:b w:val="0"/>
          <w:bCs/>
          <w:color w:val="333333"/>
          <w:kern w:val="2"/>
          <w:sz w:val="32"/>
          <w:szCs w:val="32"/>
          <w:lang w:val="en-US" w:eastAsia="zh-CN" w:bidi="ar-SA"/>
        </w:rPr>
      </w:pPr>
      <w:bookmarkStart w:id="6" w:name="_Toc207631279"/>
      <w:bookmarkStart w:id="7" w:name="_Toc207613982"/>
      <w:bookmarkStart w:id="8" w:name="_Toc207642407"/>
      <w:bookmarkStart w:id="9" w:name="_Toc207642911"/>
      <w:bookmarkStart w:id="10" w:name="_Toc207642469"/>
    </w:p>
    <w:p w14:paraId="5EFEA02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eastAsia" w:ascii="仿宋_GB2312" w:hAnsi="仿宋_GB2312" w:eastAsia="仿宋_GB2312" w:cs="仿宋_GB2312"/>
          <w:b w:val="0"/>
          <w:bCs/>
          <w:color w:val="333333"/>
          <w:kern w:val="2"/>
          <w:sz w:val="32"/>
          <w:szCs w:val="32"/>
          <w:lang w:val="en-US" w:eastAsia="zh-CN" w:bidi="ar-SA"/>
        </w:rPr>
      </w:pPr>
    </w:p>
    <w:p w14:paraId="04C13B1F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eastAsia" w:ascii="楷体" w:hAnsi="楷体" w:eastAsia="楷体" w:cs="楷体"/>
          <w:b w:val="0"/>
          <w:bCs/>
          <w:color w:val="333333"/>
          <w:kern w:val="2"/>
          <w:sz w:val="32"/>
          <w:szCs w:val="32"/>
          <w:lang w:val="en-US" w:eastAsia="zh-CN" w:bidi="ar-SA"/>
        </w:rPr>
      </w:pPr>
    </w:p>
    <w:p w14:paraId="3A90E38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eastAsia" w:ascii="楷体" w:hAnsi="楷体" w:eastAsia="楷体" w:cs="楷体"/>
          <w:b w:val="0"/>
          <w:bCs/>
          <w:color w:val="333333"/>
          <w:kern w:val="2"/>
          <w:sz w:val="32"/>
          <w:szCs w:val="32"/>
          <w:lang w:val="en-US" w:eastAsia="zh-CN" w:bidi="ar-SA"/>
        </w:rPr>
      </w:pPr>
    </w:p>
    <w:p w14:paraId="108F93FE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color w:val="333333"/>
          <w:kern w:val="2"/>
          <w:sz w:val="32"/>
          <w:szCs w:val="32"/>
          <w:lang w:val="en-US" w:eastAsia="zh-CN" w:bidi="ar-SA"/>
        </w:rPr>
      </w:pPr>
    </w:p>
    <w:p w14:paraId="2E72AF45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eastAsia" w:ascii="楷体" w:hAnsi="楷体" w:eastAsia="楷体" w:cs="楷体"/>
          <w:b w:val="0"/>
          <w:bCs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color w:val="333333"/>
          <w:kern w:val="2"/>
          <w:sz w:val="32"/>
          <w:szCs w:val="32"/>
          <w:lang w:val="en-US" w:eastAsia="zh-CN" w:bidi="ar-SA"/>
        </w:rPr>
        <w:t>采购类型：竞价采购</w:t>
      </w:r>
      <w:bookmarkEnd w:id="6"/>
      <w:bookmarkEnd w:id="7"/>
      <w:bookmarkEnd w:id="8"/>
      <w:bookmarkEnd w:id="9"/>
      <w:bookmarkEnd w:id="10"/>
    </w:p>
    <w:p w14:paraId="048521C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0" w:firstLineChars="0"/>
        <w:jc w:val="center"/>
        <w:textAlignment w:val="auto"/>
        <w:outlineLvl w:val="1"/>
        <w:rPr>
          <w:rFonts w:hint="default" w:ascii="楷体" w:hAnsi="楷体" w:eastAsia="楷体" w:cs="楷体"/>
          <w:b w:val="0"/>
          <w:bCs/>
          <w:color w:val="333333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color w:val="333333"/>
          <w:kern w:val="2"/>
          <w:sz w:val="32"/>
          <w:szCs w:val="32"/>
          <w:highlight w:val="none"/>
          <w:lang w:val="en-US" w:eastAsia="zh-CN" w:bidi="ar-SA"/>
        </w:rPr>
        <w:t>采购角色：供应商</w:t>
      </w:r>
    </w:p>
    <w:p w14:paraId="3311E210">
      <w:pPr>
        <w:bidi w:val="0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27CB4423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FFF38D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D632DDF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593CD5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E5AA598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B965EF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3C4FE7">
      <w:pPr>
        <w:pStyle w:val="1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目录</w:t>
      </w:r>
    </w:p>
    <w:p w14:paraId="52EFA3F0">
      <w:pPr>
        <w:pStyle w:val="1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TOC \* MERGEFORMAT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</w:t>
      </w:r>
      <w:r>
        <w:rPr>
          <w:lang w:val="en-US" w:eastAsia="zh-CN"/>
        </w:rPr>
        <w:t>前期准备</w:t>
      </w:r>
      <w:r>
        <w:tab/>
      </w:r>
      <w:r>
        <w:fldChar w:fldCharType="begin"/>
      </w:r>
      <w:r>
        <w:instrText xml:space="preserve"> PAGEREF _Toc7376 \h </w:instrText>
      </w:r>
      <w:r>
        <w:fldChar w:fldCharType="separate"/>
      </w:r>
      <w:r>
        <w:t>1</w:t>
      </w:r>
      <w:r>
        <w:fldChar w:fldCharType="end"/>
      </w:r>
    </w:p>
    <w:p w14:paraId="78DF26EA">
      <w:pPr>
        <w:pStyle w:val="1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</w:pPr>
      <w:r>
        <w:rPr>
          <w:rFonts w:hint="eastAsia"/>
          <w:lang w:val="en-US" w:eastAsia="zh-CN"/>
        </w:rPr>
        <w:t>二、 标段报名</w:t>
      </w:r>
      <w:r>
        <w:tab/>
      </w:r>
      <w:r>
        <w:fldChar w:fldCharType="begin"/>
      </w:r>
      <w:r>
        <w:instrText xml:space="preserve"> PAGEREF _Toc14121 \h </w:instrText>
      </w:r>
      <w:r>
        <w:fldChar w:fldCharType="separate"/>
      </w:r>
      <w:r>
        <w:t>1</w:t>
      </w:r>
      <w:r>
        <w:fldChar w:fldCharType="end"/>
      </w:r>
    </w:p>
    <w:p w14:paraId="0EA3E0AB">
      <w:pPr>
        <w:pStyle w:val="7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</w:pPr>
      <w:r>
        <w:rPr>
          <w:rFonts w:hint="eastAsia"/>
          <w:lang w:val="en-US" w:eastAsia="zh-CN"/>
        </w:rPr>
        <w:t>（一）查找报名标段</w:t>
      </w:r>
      <w:r>
        <w:tab/>
      </w:r>
      <w:r>
        <w:fldChar w:fldCharType="begin"/>
      </w:r>
      <w:r>
        <w:instrText xml:space="preserve"> PAGEREF _Toc17102 \h </w:instrText>
      </w:r>
      <w:r>
        <w:fldChar w:fldCharType="separate"/>
      </w:r>
      <w:r>
        <w:t>1</w:t>
      </w:r>
      <w:r>
        <w:fldChar w:fldCharType="end"/>
      </w:r>
    </w:p>
    <w:p w14:paraId="643B24E9">
      <w:pPr>
        <w:pStyle w:val="7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</w:pPr>
      <w:r>
        <w:rPr>
          <w:rFonts w:hint="eastAsia"/>
          <w:lang w:val="en-US" w:eastAsia="zh-CN"/>
        </w:rPr>
        <w:t>（二）参与报名</w:t>
      </w:r>
      <w:r>
        <w:tab/>
      </w:r>
      <w:r>
        <w:fldChar w:fldCharType="begin"/>
      </w:r>
      <w:r>
        <w:instrText xml:space="preserve"> PAGEREF _Toc29121 \h </w:instrText>
      </w:r>
      <w:r>
        <w:fldChar w:fldCharType="separate"/>
      </w:r>
      <w:r>
        <w:t>2</w:t>
      </w:r>
      <w:r>
        <w:fldChar w:fldCharType="end"/>
      </w:r>
    </w:p>
    <w:p w14:paraId="7A0EF088">
      <w:pPr>
        <w:pStyle w:val="1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</w:pPr>
      <w:r>
        <w:rPr>
          <w:rFonts w:hint="eastAsia"/>
          <w:lang w:val="en-US" w:eastAsia="zh-CN"/>
        </w:rPr>
        <w:t>三、参与项目流程</w:t>
      </w:r>
      <w:r>
        <w:tab/>
      </w:r>
      <w:r>
        <w:fldChar w:fldCharType="begin"/>
      </w:r>
      <w:r>
        <w:instrText xml:space="preserve"> PAGEREF _Toc2421 \h </w:instrText>
      </w:r>
      <w:r>
        <w:fldChar w:fldCharType="separate"/>
      </w:r>
      <w:r>
        <w:t>4</w:t>
      </w:r>
      <w:r>
        <w:fldChar w:fldCharType="end"/>
      </w:r>
    </w:p>
    <w:p w14:paraId="66681B41">
      <w:pPr>
        <w:pStyle w:val="7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</w:pPr>
      <w:r>
        <w:rPr>
          <w:rFonts w:hint="eastAsia"/>
          <w:lang w:val="en-US" w:eastAsia="zh-CN"/>
        </w:rPr>
        <w:t>参与竞价</w:t>
      </w:r>
      <w:r>
        <w:tab/>
      </w:r>
      <w:r>
        <w:fldChar w:fldCharType="begin"/>
      </w:r>
      <w:r>
        <w:instrText xml:space="preserve"> PAGEREF _Toc17952 \h </w:instrText>
      </w:r>
      <w:r>
        <w:fldChar w:fldCharType="separate"/>
      </w:r>
      <w:r>
        <w:t>5</w:t>
      </w:r>
      <w:r>
        <w:fldChar w:fldCharType="end"/>
      </w:r>
    </w:p>
    <w:p w14:paraId="7162997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13" w:lineRule="auto"/>
        <w:ind w:left="0" w:leftChars="0" w:firstLine="643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  <w:bookmarkStart w:id="11" w:name="_Toc7376"/>
    </w:p>
    <w:p w14:paraId="5871453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13" w:lineRule="auto"/>
        <w:ind w:left="0" w:leftChars="0" w:firstLine="643" w:firstLineChars="200"/>
        <w:jc w:val="both"/>
        <w:textAlignment w:val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FAB282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3" w:firstLineChars="200"/>
        <w:jc w:val="both"/>
        <w:textAlignment w:val="auto"/>
        <w:rPr>
          <w:lang w:val="en-US" w:eastAsia="zh-CN"/>
        </w:rPr>
      </w:pPr>
      <w:r>
        <w:rPr>
          <w:rFonts w:hint="eastAsia"/>
          <w:lang w:val="en-US" w:eastAsia="zh-CN"/>
        </w:rPr>
        <w:t>一、</w:t>
      </w:r>
      <w:r>
        <w:rPr>
          <w:lang w:val="en-US" w:eastAsia="zh-CN"/>
        </w:rPr>
        <w:t>前期准备</w:t>
      </w:r>
      <w:bookmarkEnd w:id="0"/>
      <w:bookmarkEnd w:id="11"/>
    </w:p>
    <w:p w14:paraId="4AC4A105">
      <w:pPr>
        <w:snapToGrid/>
        <w:spacing w:before="0" w:after="0"/>
        <w:ind w:firstLine="56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在数字化采购管理平台官网，根据身份选择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身份进入采购系统。</w:t>
      </w:r>
    </w:p>
    <w:p w14:paraId="4A282C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jc w:val="both"/>
        <w:textAlignment w:val="auto"/>
        <w:rPr>
          <w:rFonts w:ascii="Times New Roman" w:hAnsi="Times New Roman" w:eastAsia="思源宋体 CN ExtraLight" w:cs="Times New Roman"/>
          <w:sz w:val="21"/>
          <w:szCs w:val="24"/>
          <w:lang w:val="en-US" w:eastAsia="zh-CN" w:bidi="ar-SA"/>
        </w:rPr>
      </w:pPr>
      <w:r>
        <w:rPr>
          <w:rFonts w:ascii="Times New Roman" w:hAnsi="Times New Roman" w:eastAsia="思源宋体 CN ExtraLight" w:cs="Times New Roman"/>
          <w:sz w:val="21"/>
          <w:szCs w:val="24"/>
          <w:lang w:val="en-US" w:eastAsia="zh-CN" w:bidi="ar-SA"/>
        </w:rPr>
        <w:drawing>
          <wp:inline distT="0" distB="0" distL="114300" distR="114300">
            <wp:extent cx="5104130" cy="2041525"/>
            <wp:effectExtent l="0" t="0" r="127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047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3" w:firstLineChars="200"/>
        <w:jc w:val="both"/>
        <w:textAlignment w:val="auto"/>
        <w:rPr>
          <w:rFonts w:hint="eastAsia"/>
          <w:lang w:val="en-US" w:eastAsia="zh-CN"/>
        </w:rPr>
      </w:pPr>
      <w:bookmarkStart w:id="12" w:name="_Toc14121"/>
      <w:r>
        <w:rPr>
          <w:rFonts w:hint="eastAsia"/>
          <w:lang w:val="en-US" w:eastAsia="zh-CN"/>
        </w:rPr>
        <w:t>二、标段报名</w:t>
      </w:r>
      <w:bookmarkEnd w:id="12"/>
    </w:p>
    <w:p w14:paraId="547C4807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bookmarkStart w:id="13" w:name="_Toc17102"/>
      <w:r>
        <w:rPr>
          <w:rFonts w:hint="eastAsia" w:ascii="楷体" w:hAnsi="楷体" w:eastAsia="楷体" w:cs="楷体"/>
          <w:lang w:val="en-US" w:eastAsia="zh-CN"/>
        </w:rPr>
        <w:t>（一）查找报名标段</w:t>
      </w:r>
      <w:bookmarkEnd w:id="13"/>
    </w:p>
    <w:p w14:paraId="0625830E">
      <w:pPr>
        <w:snapToGrid/>
        <w:spacing w:before="0" w:after="0"/>
        <w:ind w:firstLine="56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当在数字化采购管理平台官网看到对应的采购公告后，以供应商身份进入数字化采购管理平台。见章节一。进入系统后，按照公告中的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采购类型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，查找对应的标段进行报名。</w:t>
      </w:r>
    </w:p>
    <w:p w14:paraId="1BBF072E">
      <w:pPr>
        <w:bidi w:val="0"/>
        <w:ind w:left="0" w:leftChars="0" w:firstLine="0" w:firstLineChars="0"/>
      </w:pPr>
      <w:r>
        <w:drawing>
          <wp:inline distT="0" distB="0" distL="114300" distR="114300">
            <wp:extent cx="5628640" cy="23164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0876">
      <w:pPr>
        <w:snapToGrid/>
        <w:spacing w:before="0" w:after="0"/>
        <w:ind w:firstLine="56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当遇到标段信息较多的时候，不方便查找时可以在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右上角搜索框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中输入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关键字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或者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标段编号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查找。</w:t>
      </w:r>
    </w:p>
    <w:p w14:paraId="3818CC68">
      <w:pPr>
        <w:bidi w:val="0"/>
        <w:ind w:left="0" w:leftChars="0" w:firstLine="0" w:firstLineChars="0"/>
      </w:pPr>
      <w:r>
        <w:drawing>
          <wp:inline distT="0" distB="0" distL="114300" distR="114300">
            <wp:extent cx="5086985" cy="2283460"/>
            <wp:effectExtent l="0" t="0" r="571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63C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bookmarkStart w:id="14" w:name="_Toc29121"/>
      <w:r>
        <w:rPr>
          <w:rFonts w:hint="eastAsia" w:ascii="楷体" w:hAnsi="楷体" w:eastAsia="楷体" w:cs="楷体"/>
          <w:lang w:val="en-US" w:eastAsia="zh-CN"/>
        </w:rPr>
        <w:t>（二）参与报名</w:t>
      </w:r>
      <w:bookmarkEnd w:id="14"/>
    </w:p>
    <w:p w14:paraId="701DE64E">
      <w:pPr>
        <w:snapToGrid/>
        <w:spacing w:before="0" w:after="0"/>
        <w:ind w:firstLine="56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找到对应的标段后，点击标段下方【我要报名】进入报名页面。</w:t>
      </w:r>
    </w:p>
    <w:p w14:paraId="4DDDD1FE">
      <w:pPr>
        <w:ind w:left="0" w:leftChars="0" w:firstLine="0" w:firstLineChars="0"/>
      </w:pPr>
      <w:r>
        <w:drawing>
          <wp:inline distT="0" distB="0" distL="114300" distR="114300">
            <wp:extent cx="5029835" cy="1669415"/>
            <wp:effectExtent l="0" t="0" r="1206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FD05">
      <w:pPr>
        <w:snapToGrid/>
        <w:spacing w:before="0" w:after="0"/>
        <w:ind w:firstLine="56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进入报名页面后，系统会默认展示当前报名标段的标段信息，如有设置保证金，则在标段（包）信息栏目下，会展示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保证金子账号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。如果没有保证金，则不会展示。</w:t>
      </w:r>
    </w:p>
    <w:p w14:paraId="0B311439">
      <w:pPr>
        <w:snapToGrid/>
        <w:spacing w:before="0" w:after="0"/>
        <w:ind w:firstLine="56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报名信息会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默认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获取当前登录账号的单位名称、联系人，还需要继续补充联系电话方可报名。</w:t>
      </w:r>
    </w:p>
    <w:p w14:paraId="30B79111">
      <w:pPr>
        <w:ind w:left="0" w:leftChars="0" w:firstLine="0" w:firstLineChars="0"/>
      </w:pPr>
      <w:r>
        <w:drawing>
          <wp:inline distT="0" distB="0" distL="114300" distR="114300">
            <wp:extent cx="5233670" cy="2226945"/>
            <wp:effectExtent l="0" t="0" r="1143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5ACD">
      <w:pPr>
        <w:numPr>
          <w:numId w:val="0"/>
        </w:numPr>
        <w:ind w:leftChars="0"/>
        <w:rPr>
          <w:rFonts w:hint="eastAsia" w:ascii="楷体" w:hAnsi="楷体" w:eastAsia="楷体" w:cs="楷体"/>
          <w:b/>
          <w:color w:val="333333"/>
          <w:kern w:val="2"/>
          <w:sz w:val="3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color w:val="333333"/>
          <w:kern w:val="2"/>
          <w:sz w:val="32"/>
          <w:szCs w:val="22"/>
          <w:lang w:val="en-US" w:eastAsia="zh-CN"/>
        </w:rPr>
        <w:t>1、有供应商报名资格要求</w:t>
      </w:r>
    </w:p>
    <w:p w14:paraId="6E16425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200" w:firstLine="0"/>
        <w:rPr>
          <w:rFonts w:hint="default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如果当前标段有设置供应商报名资格要求，则在报名提交时，还需要上传</w:t>
      </w:r>
      <w:r>
        <w:rPr>
          <w:rFonts w:hint="default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资格要求</w:t>
      </w:r>
      <w:r>
        <w:rPr>
          <w:rFonts w:hint="default" w:ascii="仿宋_GB2312" w:hAnsi="仿宋_GB2312" w:eastAsia="仿宋_GB2312" w:cs="仿宋_GB2312"/>
          <w:b/>
          <w:bCs/>
          <w:color w:val="333333"/>
          <w:kern w:val="2"/>
          <w:sz w:val="32"/>
          <w:szCs w:val="32"/>
          <w:lang w:val="en-US" w:eastAsia="zh-CN" w:bidi="ar-SA"/>
        </w:rPr>
        <w:t>相关附件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。</w:t>
      </w:r>
      <w:bookmarkStart w:id="17" w:name="_GoBack"/>
      <w:bookmarkEnd w:id="17"/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点击箭头上传相关附件。</w:t>
      </w:r>
    </w:p>
    <w:p w14:paraId="07FFA715">
      <w:pPr>
        <w:ind w:left="0" w:leftChars="0" w:firstLine="0" w:firstLineChars="0"/>
      </w:pPr>
      <w:r>
        <w:drawing>
          <wp:inline distT="0" distB="0" distL="114300" distR="114300">
            <wp:extent cx="5207635" cy="1424305"/>
            <wp:effectExtent l="0" t="0" r="1206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F012">
      <w:pPr>
        <w:bidi w:val="0"/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所有附件上传完成后，点击</w:t>
      </w:r>
      <w:r>
        <w:rPr>
          <w:rFonts w:hint="eastAsia" w:ascii="仿宋_GB2312" w:hAnsi="仿宋_GB2312" w:eastAsia="仿宋_GB2312" w:cs="仿宋_GB2312"/>
          <w:b/>
          <w:bCs/>
          <w:color w:val="333333"/>
          <w:kern w:val="2"/>
          <w:sz w:val="32"/>
          <w:szCs w:val="32"/>
          <w:lang w:val="en-US" w:eastAsia="zh-CN" w:bidi="ar-SA"/>
        </w:rPr>
        <w:t>左上角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【我要报名】，即可报名成功，等待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32"/>
          <w:szCs w:val="32"/>
          <w:lang w:val="en-US" w:eastAsia="zh-CN" w:bidi="ar-SA"/>
        </w:rPr>
        <w:t>采购负责人或者代理负责人审核通过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资格审查情况后，方可开展后续操作。</w:t>
      </w:r>
    </w:p>
    <w:p w14:paraId="347C09F7">
      <w:pPr>
        <w:ind w:left="0" w:leftChars="0" w:firstLine="0" w:firstLineChars="0"/>
      </w:pPr>
      <w:r>
        <w:drawing>
          <wp:inline distT="0" distB="0" distL="114300" distR="114300">
            <wp:extent cx="5224145" cy="2239645"/>
            <wp:effectExtent l="0" t="0" r="8255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8577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color w:val="333333"/>
          <w:kern w:val="2"/>
          <w:sz w:val="3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color w:val="333333"/>
          <w:kern w:val="2"/>
          <w:sz w:val="32"/>
          <w:szCs w:val="22"/>
          <w:lang w:val="en-US" w:eastAsia="zh-CN"/>
        </w:rPr>
        <w:t>2、没有供应商报名资格要求</w:t>
      </w:r>
    </w:p>
    <w:p w14:paraId="22579378">
      <w:pPr>
        <w:bidi w:val="0"/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如果当前标段没有设置供应商报名资格要求，则在报名提交时，补充联系电话即可提交报名。</w:t>
      </w:r>
    </w:p>
    <w:p w14:paraId="6731707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73345" cy="2212340"/>
            <wp:effectExtent l="0" t="0" r="8255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858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3" w:firstLineChars="200"/>
        <w:jc w:val="both"/>
        <w:textAlignment w:val="auto"/>
        <w:rPr>
          <w:rFonts w:hint="default"/>
          <w:lang w:val="en-US" w:eastAsia="zh-CN"/>
        </w:rPr>
      </w:pPr>
      <w:bookmarkStart w:id="15" w:name="_Toc2421"/>
      <w:r>
        <w:rPr>
          <w:rFonts w:hint="eastAsia"/>
          <w:lang w:val="en-US" w:eastAsia="zh-CN"/>
        </w:rPr>
        <w:t>三、参与项目流程</w:t>
      </w:r>
      <w:bookmarkEnd w:id="15"/>
    </w:p>
    <w:p w14:paraId="5CD2F141">
      <w:pPr>
        <w:bidi w:val="0"/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报名成功后（有供应商报名资格要求的，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32"/>
          <w:szCs w:val="32"/>
          <w:lang w:val="en-US" w:eastAsia="zh-CN" w:bidi="ar-SA"/>
        </w:rPr>
        <w:t>采购负责人或者代理负责人审核通过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才算报名成功；没有供应商报名资格要求的，提交报名信息就算报名成功），在【我的项目】中找到对应标段，进入【项目流程】。</w:t>
      </w:r>
    </w:p>
    <w:p w14:paraId="20DD505E">
      <w:pPr>
        <w:ind w:left="0" w:leftChars="0" w:firstLine="0" w:firstLineChars="0"/>
      </w:pPr>
      <w:r>
        <w:drawing>
          <wp:inline distT="0" distB="0" distL="114300" distR="114300">
            <wp:extent cx="5264150" cy="2713355"/>
            <wp:effectExtent l="0" t="0" r="12700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6F95">
      <w:pPr>
        <w:bidi w:val="0"/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竞价采购项目，</w:t>
      </w:r>
      <w:r>
        <w:rPr>
          <w:rFonts w:hint="eastAsia" w:ascii="仿宋_GB2312" w:hAnsi="仿宋_GB2312" w:eastAsia="仿宋_GB2312" w:cs="仿宋_GB2312"/>
          <w:b/>
          <w:bCs/>
          <w:color w:val="333333"/>
          <w:kern w:val="2"/>
          <w:sz w:val="32"/>
          <w:szCs w:val="32"/>
          <w:lang w:val="en-US" w:eastAsia="zh-CN" w:bidi="ar-SA"/>
        </w:rPr>
        <w:t>不存在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采购文件，因此不需要下载采购文件。</w:t>
      </w:r>
    </w:p>
    <w:p w14:paraId="27B3A797">
      <w:pPr>
        <w:ind w:left="0" w:leftChars="0" w:firstLine="0" w:firstLineChars="0"/>
      </w:pPr>
      <w:r>
        <w:drawing>
          <wp:inline distT="0" distB="0" distL="114300" distR="114300">
            <wp:extent cx="5179060" cy="2929255"/>
            <wp:effectExtent l="0" t="0" r="2540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EDB4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Arial" w:hAnsi="Arial" w:eastAsia="黑体" w:cstheme="minorBidi"/>
          <w:b/>
          <w:color w:val="333333"/>
          <w:kern w:val="2"/>
          <w:sz w:val="32"/>
          <w:szCs w:val="22"/>
          <w:lang w:val="en-US" w:eastAsia="zh-CN"/>
        </w:rPr>
      </w:pPr>
      <w:bookmarkStart w:id="16" w:name="_Toc17952"/>
      <w:r>
        <w:rPr>
          <w:rFonts w:hint="eastAsia" w:ascii="Arial" w:hAnsi="Arial" w:eastAsia="黑体" w:cstheme="minorBidi"/>
          <w:b/>
          <w:color w:val="333333"/>
          <w:kern w:val="2"/>
          <w:sz w:val="32"/>
          <w:szCs w:val="22"/>
          <w:lang w:val="en-US" w:eastAsia="zh-CN"/>
        </w:rPr>
        <w:t>四、参与竞价</w:t>
      </w:r>
      <w:bookmarkEnd w:id="16"/>
    </w:p>
    <w:p w14:paraId="4C160BE2">
      <w:pPr>
        <w:bidi w:val="0"/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到达竞价开始时间后，点击【报价】，进入竞价大厅，开始竞价报价。</w:t>
      </w:r>
    </w:p>
    <w:p w14:paraId="433B0D2E">
      <w:pPr>
        <w:ind w:left="0" w:leftChars="0" w:firstLine="0" w:firstLineChars="0"/>
      </w:pPr>
      <w:r>
        <w:drawing>
          <wp:inline distT="0" distB="0" distL="0" distR="0">
            <wp:extent cx="5274310" cy="2797810"/>
            <wp:effectExtent l="0" t="0" r="889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8612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color w:val="333333"/>
          <w:kern w:val="2"/>
          <w:sz w:val="3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color w:val="333333"/>
          <w:kern w:val="2"/>
          <w:sz w:val="32"/>
          <w:szCs w:val="22"/>
          <w:lang w:val="en-US" w:eastAsia="zh-CN"/>
        </w:rPr>
        <w:t>（一）分项竞价</w:t>
      </w:r>
    </w:p>
    <w:p w14:paraId="68F880E7">
      <w:pPr>
        <w:bidi w:val="0"/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如果该标段被采购负责人或者代理负责人设置为了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分项竞价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，则供应商进入竞价大厅后，大厅会列表展示当前标段下所有的物料明细，供应商需要对每一条物料单独报价。（注意：报价为每条物料的单价，系统会根据采购数量自动汇总总价）</w:t>
      </w:r>
    </w:p>
    <w:p w14:paraId="73E45370">
      <w:pPr>
        <w:bidi w:val="0"/>
        <w:rPr>
          <w:rFonts w:hint="default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只需要在输入单价列，输入每条物料的单价即可。输入完成后，点击右下角【提交报价】，即可在左侧报价记录中看到已提交的报价信息。</w:t>
      </w:r>
    </w:p>
    <w:p w14:paraId="3F02E37B">
      <w:pPr>
        <w:bidi w:val="0"/>
        <w:ind w:left="0" w:leftChars="0" w:firstLine="0" w:firstLineChars="0"/>
      </w:pPr>
      <w:r>
        <w:drawing>
          <wp:inline distT="0" distB="0" distL="114300" distR="114300">
            <wp:extent cx="5242560" cy="3408680"/>
            <wp:effectExtent l="0" t="0" r="254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A21E">
      <w:pPr>
        <w:bidi w:val="0"/>
        <w:rPr>
          <w:rFonts w:hint="default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FAQ：提交报价的按钮为灰色，无法点击提交怎么办？（以减价报价为例）</w:t>
      </w:r>
    </w:p>
    <w:p w14:paraId="2054B41D">
      <w:pPr>
        <w:bidi w:val="0"/>
        <w:rPr>
          <w:rFonts w:hint="default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报价规则：每一轮报价，最低报价公司为当前该物料本轮价格，下一轮报价须比上一轮物料价钱低才能提交。</w:t>
      </w:r>
    </w:p>
    <w:p w14:paraId="13515D40">
      <w:pPr>
        <w:bidi w:val="0"/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如果该标段没有被采购负责人或者代理负责人设置为</w:t>
      </w:r>
      <w:r>
        <w:rPr>
          <w:rFonts w:hint="eastAsia" w:ascii="仿宋_GB2312" w:hAnsi="仿宋_GB2312" w:eastAsia="仿宋_GB2312" w:cs="仿宋_GB2312"/>
          <w:b/>
          <w:bCs/>
          <w:color w:val="333333"/>
          <w:kern w:val="2"/>
          <w:sz w:val="32"/>
          <w:szCs w:val="32"/>
          <w:lang w:val="en-US" w:eastAsia="zh-CN" w:bidi="ar-SA"/>
        </w:rPr>
        <w:t>分项竞价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，则供应商进入竞价大厅后，竞买人只需要</w:t>
      </w:r>
      <w:r>
        <w:rPr>
          <w:rFonts w:hint="eastAsia" w:ascii="仿宋_GB2312" w:hAnsi="仿宋_GB2312" w:eastAsia="仿宋_GB2312" w:cs="仿宋_GB2312"/>
          <w:b/>
          <w:bCs/>
          <w:color w:val="333333"/>
          <w:kern w:val="2"/>
          <w:sz w:val="32"/>
          <w:szCs w:val="32"/>
          <w:lang w:val="en-US" w:eastAsia="zh-CN" w:bidi="ar-SA"/>
        </w:rPr>
        <w:t>报价总价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kern w:val="2"/>
          <w:sz w:val="32"/>
          <w:szCs w:val="32"/>
          <w:lang w:val="en-US" w:eastAsia="zh-CN" w:bidi="ar-SA"/>
        </w:rPr>
        <w:t>。</w:t>
      </w:r>
    </w:p>
    <w:p w14:paraId="42A7519D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193665" cy="3385185"/>
            <wp:effectExtent l="0" t="0" r="635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1F97">
      <w:pPr>
        <w:bidi w:val="0"/>
        <w:rPr>
          <w:rFonts w:hint="default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注意：竞价时间分为两个阶段，第一阶段为正常竞价阶段，时间为采购负责人或者代理负责人设置的竞价开始时间--竞价结束时间；第二阶段为延时竞价阶段，在正常竞价阶段未出过价的供应商，无法参与延时竞价。延时竞价根据采购负责人或者代理负责人设置延时竞价时长决定，每有新报价提交，报价时长延长为新一轮延时竞价，直至没有新报价提交。</w:t>
      </w:r>
    </w:p>
    <w:p w14:paraId="0E6949AE">
      <w:pPr>
        <w:bidi w:val="0"/>
        <w:rPr>
          <w:rFonts w:hint="default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到竞价结束时间，如果没有最新报价，则当前最新报价为成交价。竞价页面会显示“成交”。</w:t>
      </w:r>
    </w:p>
    <w:p w14:paraId="546F0897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3442335"/>
            <wp:effectExtent l="0" t="0" r="825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CEFA">
      <w:pPr>
        <w:bidi w:val="0"/>
        <w:ind w:left="0" w:leftChars="0" w:firstLine="0" w:firstLineChars="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备注：供应方请详细阅读操作手册，操作有疑问可以拨打平台热线。</w:t>
      </w:r>
    </w:p>
    <w:p w14:paraId="51E63314">
      <w:pPr>
        <w:bidi w:val="0"/>
        <w:ind w:left="0" w:leftChars="0" w:firstLine="0" w:firstLineChars="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平台故障请拨打平台技术热线</w:t>
      </w:r>
    </w:p>
    <w:p w14:paraId="215FC8B5">
      <w:pPr>
        <w:bidi w:val="0"/>
        <w:ind w:left="0" w:leftChars="0" w:firstLine="0" w:firstLineChars="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报名报价资格审查业务问题请拨打采购方热线</w:t>
      </w:r>
    </w:p>
    <w:p w14:paraId="66D9D00C">
      <w:pPr>
        <w:numPr>
          <w:ilvl w:val="0"/>
          <w:numId w:val="0"/>
        </w:numPr>
        <w:bidi w:val="0"/>
        <w:ind w:leftChars="0"/>
        <w:rPr>
          <w:rFonts w:hint="default" w:ascii="Times New Roman"/>
          <w:lang w:val="en-US" w:eastAsia="zh-CN"/>
        </w:rPr>
      </w:pPr>
    </w:p>
    <w:sectPr>
      <w:footerReference r:id="rId5" w:type="default"/>
      <w:pgSz w:w="11906" w:h="16838"/>
      <w:pgMar w:top="2098" w:right="1474" w:bottom="1984" w:left="1587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5F42D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BE6748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BE6748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BA5F0F"/>
    <w:rsid w:val="185F0B2B"/>
    <w:rsid w:val="1C1B3AF7"/>
    <w:rsid w:val="1C9676E4"/>
    <w:rsid w:val="27B30754"/>
    <w:rsid w:val="285834BF"/>
    <w:rsid w:val="2A00113B"/>
    <w:rsid w:val="2A910AA6"/>
    <w:rsid w:val="2EA33A15"/>
    <w:rsid w:val="2F9718C9"/>
    <w:rsid w:val="31BA5F0F"/>
    <w:rsid w:val="34034E22"/>
    <w:rsid w:val="3727124C"/>
    <w:rsid w:val="394B0A62"/>
    <w:rsid w:val="3D924F9A"/>
    <w:rsid w:val="3EA32EA7"/>
    <w:rsid w:val="42ED4649"/>
    <w:rsid w:val="461B4430"/>
    <w:rsid w:val="51FB4253"/>
    <w:rsid w:val="534E172F"/>
    <w:rsid w:val="53882843"/>
    <w:rsid w:val="58E05B37"/>
    <w:rsid w:val="5E970C0C"/>
    <w:rsid w:val="670F0ED0"/>
    <w:rsid w:val="68464C69"/>
    <w:rsid w:val="6A52204F"/>
    <w:rsid w:val="6B71341C"/>
    <w:rsid w:val="6CD85031"/>
    <w:rsid w:val="7DBD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60" w:after="60" w:line="360" w:lineRule="auto"/>
      <w:ind w:firstLine="480" w:firstLineChars="200"/>
      <w:jc w:val="left"/>
    </w:pPr>
    <w:rPr>
      <w:rFonts w:ascii="minorHAnsi" w:hAnsi="minorHAnsi" w:eastAsia="宋体" w:cstheme="minorBidi"/>
      <w:color w:val="333333"/>
      <w:kern w:val="2"/>
      <w:sz w:val="24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ind w:firstLine="0" w:firstLineChars="0"/>
      <w:jc w:val="center"/>
      <w:outlineLvl w:val="0"/>
    </w:pPr>
    <w:rPr>
      <w:rFonts w:eastAsia="黑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黑体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Cs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customStyle="1" w:styleId="13">
    <w:name w:val="汇报样式"/>
    <w:basedOn w:val="1"/>
    <w:qFormat/>
    <w:uiPriority w:val="0"/>
    <w:pPr>
      <w:snapToGrid/>
      <w:spacing w:before="0" w:after="0" w:line="360" w:lineRule="auto"/>
      <w:ind w:firstLine="640"/>
      <w:jc w:val="center"/>
    </w:pPr>
    <w:rPr>
      <w:rFonts w:hint="eastAsia" w:ascii="Times New Roman" w:hAnsi="Times New Roman" w:eastAsia="仿宋" w:cs="Times New Roman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1277</Words>
  <Characters>1303</Characters>
  <Lines>0</Lines>
  <Paragraphs>0</Paragraphs>
  <TotalTime>9</TotalTime>
  <ScaleCrop>false</ScaleCrop>
  <LinksUpToDate>false</LinksUpToDate>
  <CharactersWithSpaces>1310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2025-12-15T06:16:00Z</dcterms:created>
  <dc:creator>孙岩</dc:creator>
  <cp:lastModifiedBy>olive</cp:lastModifiedBy>
  <dcterms:modified xsi:type="dcterms:W3CDTF">2025-12-18T06:57:29Z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BEBD349FF29E46BEB8DC20A40771DF45_13</vt:lpwstr>
  </property>
  <property fmtid="{D5CDD505-2E9C-101B-9397-08002B2CF9AE}" pid="4" name="KSOTemplateDocerSaveRecord">
    <vt:lpwstr>eyJoZGlkIjoiYWU0NmQ5MjdhNjcwMTA0OTE2MTM0OWIxYjcwMzBiYmUiLCJ1c2VySWQiOiI1NzUwNjIzNDQifQ==</vt:lpwstr>
  </property>
</Properties>
</file>