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2D14C">
      <w:pPr>
        <w:widowControl/>
        <w:spacing w:beforeAutospacing="0" w:afterAutospacing="0" w:line="360" w:lineRule="auto"/>
        <w:jc w:val="both"/>
        <w:rPr>
          <w:rFonts w:hint="eastAsia" w:ascii="仿宋_GB2312" w:hAnsi="仿宋_GB2312" w:eastAsia="仿宋_GB2312" w:cs="仿宋_GB2312"/>
          <w:b/>
          <w:bCs/>
          <w:color w:val="auto"/>
          <w:kern w:val="2"/>
          <w:sz w:val="28"/>
          <w:szCs w:val="28"/>
          <w:lang w:val="en-US" w:eastAsia="zh-CN" w:bidi="ar-SA"/>
        </w:rPr>
      </w:pPr>
      <w:bookmarkStart w:id="11" w:name="_GoBack"/>
      <w:r>
        <w:rPr>
          <w:rFonts w:hint="eastAsia" w:ascii="仿宋_GB2312" w:hAnsi="仿宋_GB2312" w:eastAsia="仿宋_GB2312" w:cs="仿宋_GB2312"/>
          <w:b/>
          <w:bCs/>
          <w:color w:val="auto"/>
          <w:kern w:val="2"/>
          <w:sz w:val="28"/>
          <w:szCs w:val="28"/>
          <w:lang w:val="en-US" w:eastAsia="zh-CN" w:bidi="ar-SA"/>
        </w:rPr>
        <w:t>附件2：合同</w:t>
      </w:r>
    </w:p>
    <w:p w14:paraId="1BB51DEA">
      <w:pPr>
        <w:jc w:val="center"/>
        <w:rPr>
          <w:rFonts w:hint="eastAsia" w:ascii="方正小标宋简体" w:hAnsi="方正小标宋简体" w:eastAsia="方正小标宋简体" w:cs="方正小标宋简体"/>
          <w:b/>
          <w:bCs/>
          <w:color w:val="auto"/>
          <w:sz w:val="44"/>
          <w:szCs w:val="44"/>
          <w:highlight w:val="none"/>
          <w:lang w:val="en-US" w:eastAsia="zh-CN"/>
        </w:rPr>
      </w:pPr>
      <w:r>
        <w:rPr>
          <w:rFonts w:hint="eastAsia" w:ascii="方正小标宋简体" w:hAnsi="方正小标宋简体" w:eastAsia="方正小标宋简体" w:cs="方正小标宋简体"/>
          <w:b/>
          <w:bCs/>
          <w:color w:val="auto"/>
          <w:sz w:val="44"/>
          <w:szCs w:val="44"/>
          <w:highlight w:val="none"/>
          <w:lang w:val="en-US" w:eastAsia="zh-CN"/>
        </w:rPr>
        <w:t>张掖青阳煤业有限公司</w:t>
      </w:r>
    </w:p>
    <w:p w14:paraId="01B016DD">
      <w:pPr>
        <w:jc w:val="center"/>
        <w:rPr>
          <w:rFonts w:hint="eastAsia" w:ascii="方正小标宋简体" w:hAnsi="方正小标宋简体" w:eastAsia="方正小标宋简体" w:cs="方正小标宋简体"/>
          <w:b/>
          <w:bCs/>
          <w:color w:val="auto"/>
          <w:sz w:val="44"/>
          <w:szCs w:val="44"/>
          <w:highlight w:val="none"/>
          <w:lang w:val="en-US" w:eastAsia="zh-CN"/>
        </w:rPr>
      </w:pPr>
      <w:r>
        <w:rPr>
          <w:rFonts w:hint="eastAsia" w:ascii="方正小标宋简体" w:hAnsi="方正小标宋简体" w:eastAsia="方正小标宋简体" w:cs="方正小标宋简体"/>
          <w:b/>
          <w:bCs/>
          <w:color w:val="auto"/>
          <w:sz w:val="44"/>
          <w:szCs w:val="44"/>
          <w:highlight w:val="none"/>
          <w:lang w:val="en-US" w:eastAsia="zh-CN"/>
        </w:rPr>
        <w:t>青阳矿井及选煤厂110千伏第二回路供电线路工程监理服务</w:t>
      </w:r>
    </w:p>
    <w:p w14:paraId="507138F4">
      <w:pPr>
        <w:jc w:val="center"/>
        <w:rPr>
          <w:rFonts w:hint="default" w:ascii="方正小标宋简体" w:hAnsi="方正小标宋简体" w:eastAsia="方正小标宋简体" w:cs="方正小标宋简体"/>
          <w:b/>
          <w:bCs/>
          <w:color w:val="auto"/>
          <w:sz w:val="44"/>
          <w:szCs w:val="44"/>
          <w:highlight w:val="none"/>
          <w:lang w:val="en-US" w:eastAsia="zh-CN"/>
        </w:rPr>
      </w:pPr>
      <w:r>
        <w:rPr>
          <w:rFonts w:hint="eastAsia" w:ascii="方正小标宋简体" w:hAnsi="方正小标宋简体" w:eastAsia="方正小标宋简体" w:cs="方正小标宋简体"/>
          <w:b/>
          <w:bCs/>
          <w:color w:val="auto"/>
          <w:sz w:val="44"/>
          <w:szCs w:val="44"/>
          <w:highlight w:val="none"/>
          <w:lang w:val="en-US" w:eastAsia="zh-CN"/>
        </w:rPr>
        <w:t>合同</w:t>
      </w:r>
    </w:p>
    <w:p w14:paraId="2EDF464D">
      <w:pPr>
        <w:widowControl/>
        <w:wordWrap w:val="0"/>
        <w:spacing w:before="100" w:beforeAutospacing="1" w:after="100" w:afterAutospacing="1" w:line="320" w:lineRule="atLeast"/>
        <w:ind w:firstLine="480"/>
        <w:jc w:val="center"/>
        <w:outlineLvl w:val="9"/>
        <w:rPr>
          <w:rFonts w:hint="eastAsia" w:ascii="黑体" w:hAnsi="宋体" w:eastAsia="黑体" w:cs="Times New Roman"/>
          <w:b/>
          <w:color w:val="auto"/>
          <w:kern w:val="0"/>
          <w:sz w:val="44"/>
          <w:szCs w:val="44"/>
          <w:lang w:val="en-US" w:eastAsia="zh-CN" w:bidi="ar-SA"/>
        </w:rPr>
      </w:pPr>
    </w:p>
    <w:p w14:paraId="3FE5FA83">
      <w:pPr>
        <w:widowControl/>
        <w:wordWrap w:val="0"/>
        <w:spacing w:before="100" w:beforeAutospacing="1" w:after="100" w:afterAutospacing="1" w:line="320" w:lineRule="atLeast"/>
        <w:jc w:val="left"/>
        <w:outlineLvl w:val="9"/>
        <w:rPr>
          <w:rFonts w:hint="eastAsia" w:ascii="黑体" w:hAnsi="宋体" w:eastAsia="黑体" w:cs="Times New Roman"/>
          <w:b/>
          <w:color w:val="auto"/>
          <w:kern w:val="0"/>
          <w:sz w:val="44"/>
          <w:szCs w:val="44"/>
          <w:lang w:val="en-US" w:eastAsia="zh-CN" w:bidi="ar-SA"/>
        </w:rPr>
      </w:pPr>
    </w:p>
    <w:p w14:paraId="239E940B">
      <w:pPr>
        <w:rPr>
          <w:rFonts w:hint="eastAsia" w:ascii="Times New Roman" w:hAnsi="Times New Roman" w:eastAsia="宋体" w:cs="Times New Roman"/>
          <w:color w:val="auto"/>
        </w:rPr>
      </w:pPr>
    </w:p>
    <w:p w14:paraId="43215BBE">
      <w:pPr>
        <w:widowControl/>
        <w:wordWrap w:val="0"/>
        <w:spacing w:before="100" w:beforeAutospacing="1" w:after="100" w:afterAutospacing="1" w:line="320" w:lineRule="atLeast"/>
        <w:jc w:val="both"/>
        <w:rPr>
          <w:rFonts w:ascii="宋体" w:hAnsi="宋体" w:eastAsia="宋体" w:cs="Times New Roman"/>
          <w:color w:val="auto"/>
          <w:kern w:val="0"/>
          <w:sz w:val="32"/>
          <w:szCs w:val="32"/>
          <w:lang w:val="en-US" w:eastAsia="zh-CN" w:bidi="ar-SA"/>
        </w:rPr>
      </w:pPr>
    </w:p>
    <w:p w14:paraId="2BDB69D0">
      <w:pPr>
        <w:rPr>
          <w:rFonts w:ascii="Times New Roman" w:hAnsi="Times New Roman" w:eastAsia="宋体" w:cs="Times New Roman"/>
          <w:color w:val="auto"/>
          <w:sz w:val="32"/>
          <w:szCs w:val="32"/>
        </w:rPr>
      </w:pPr>
    </w:p>
    <w:p w14:paraId="323556EB">
      <w:pPr>
        <w:rPr>
          <w:rFonts w:ascii="Times New Roman" w:hAnsi="Times New Roman" w:eastAsia="宋体" w:cs="Times New Roman"/>
          <w:color w:val="auto"/>
        </w:rPr>
      </w:pPr>
    </w:p>
    <w:p w14:paraId="16408E07">
      <w:pPr>
        <w:widowControl/>
        <w:spacing w:line="360" w:lineRule="auto"/>
        <w:ind w:firstLine="960" w:firstLineChars="300"/>
        <w:jc w:val="left"/>
        <w:rPr>
          <w:rFonts w:hint="eastAsia"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 xml:space="preserve">委托方（甲方）： </w:t>
      </w:r>
    </w:p>
    <w:p w14:paraId="16799CBF">
      <w:pPr>
        <w:widowControl/>
        <w:spacing w:line="360" w:lineRule="auto"/>
        <w:ind w:firstLine="960" w:firstLineChars="300"/>
        <w:jc w:val="left"/>
        <w:rPr>
          <w:rFonts w:hint="eastAsia"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 xml:space="preserve">受托方（乙方）： </w:t>
      </w:r>
    </w:p>
    <w:p w14:paraId="479B9CC1">
      <w:pPr>
        <w:widowControl/>
        <w:spacing w:line="360" w:lineRule="auto"/>
        <w:ind w:firstLine="960" w:firstLineChars="300"/>
        <w:jc w:val="left"/>
        <w:rPr>
          <w:rFonts w:hint="eastAsia"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 xml:space="preserve">签订时间： </w:t>
      </w:r>
    </w:p>
    <w:p w14:paraId="1BD4A942">
      <w:pPr>
        <w:widowControl/>
        <w:spacing w:line="360" w:lineRule="auto"/>
        <w:ind w:firstLine="960" w:firstLineChars="300"/>
        <w:jc w:val="left"/>
        <w:rPr>
          <w:rFonts w:hint="eastAsia"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签订地点：</w:t>
      </w:r>
    </w:p>
    <w:p w14:paraId="1601CECD">
      <w:pPr>
        <w:widowControl/>
        <w:wordWrap w:val="0"/>
        <w:spacing w:before="100" w:beforeAutospacing="1" w:after="100" w:afterAutospacing="1" w:line="320" w:lineRule="atLeast"/>
        <w:ind w:firstLine="480"/>
        <w:jc w:val="center"/>
        <w:rPr>
          <w:rFonts w:hint="eastAsia" w:ascii="黑体" w:hAnsi="黑体" w:eastAsia="黑体" w:cs="黑体"/>
          <w:b/>
          <w:color w:val="auto"/>
          <w:kern w:val="0"/>
          <w:sz w:val="36"/>
          <w:szCs w:val="36"/>
          <w:lang w:val="en-US" w:eastAsia="zh-CN" w:bidi="ar-SA"/>
        </w:rPr>
      </w:pPr>
      <w:r>
        <w:rPr>
          <w:rFonts w:hint="eastAsia" w:ascii="黑体" w:hAnsi="黑体" w:eastAsia="黑体" w:cs="黑体"/>
          <w:color w:val="auto"/>
          <w:kern w:val="0"/>
          <w:sz w:val="32"/>
          <w:szCs w:val="32"/>
          <w:lang w:val="en-US" w:eastAsia="zh-CN" w:bidi="ar-SA"/>
        </w:rPr>
        <w:t>日期：  年  月  日</w:t>
      </w:r>
      <w:bookmarkStart w:id="0" w:name="_Toc577"/>
    </w:p>
    <w:bookmarkEnd w:id="0"/>
    <w:p w14:paraId="4DD294CE">
      <w:pPr>
        <w:rPr>
          <w:rFonts w:hint="eastAsia" w:ascii="黑体" w:hAnsi="黑体" w:eastAsia="黑体" w:cs="黑体"/>
          <w:b/>
          <w:color w:val="auto"/>
          <w:sz w:val="36"/>
          <w:szCs w:val="36"/>
        </w:rPr>
      </w:pPr>
      <w:r>
        <w:rPr>
          <w:rFonts w:hint="eastAsia" w:ascii="黑体" w:hAnsi="黑体" w:eastAsia="黑体" w:cs="黑体"/>
          <w:b/>
          <w:color w:val="auto"/>
          <w:sz w:val="36"/>
          <w:szCs w:val="36"/>
        </w:rPr>
        <w:br w:type="page"/>
      </w:r>
    </w:p>
    <w:p w14:paraId="5A8AD7E6">
      <w:pPr>
        <w:keepNext/>
        <w:keepLines/>
        <w:pageBreakBefore w:val="0"/>
        <w:widowControl w:val="0"/>
        <w:kinsoku/>
        <w:wordWrap/>
        <w:overflowPunct/>
        <w:topLinePunct w:val="0"/>
        <w:autoSpaceDE/>
        <w:autoSpaceDN/>
        <w:bidi w:val="0"/>
        <w:spacing w:before="260" w:beforeLines="0" w:after="260" w:afterLines="0" w:line="560" w:lineRule="exact"/>
        <w:jc w:val="center"/>
        <w:textAlignment w:val="auto"/>
        <w:outlineLvl w:val="1"/>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第一部分 标准条件</w:t>
      </w:r>
    </w:p>
    <w:p w14:paraId="6B4B12D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1词语定义、适用范围和法规</w:t>
      </w:r>
    </w:p>
    <w:p w14:paraId="3F54824A">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  下列名词和用语，除上下文另有规定外，有如下含义：</w:t>
      </w:r>
    </w:p>
    <w:p w14:paraId="7829558C">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⑴“工程”是指</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委托实施监理的工程。</w:t>
      </w:r>
    </w:p>
    <w:p w14:paraId="3BA079DA">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⑵“</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”是指承担直接投资责任和委托监理业务的一方以及其合法继承人。</w:t>
      </w:r>
    </w:p>
    <w:p w14:paraId="0E5D0DB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⑶“监理人”是指承担监理业务和监理责任的一方，以及其合法继承人。</w:t>
      </w:r>
    </w:p>
    <w:p w14:paraId="1C6C12C1">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⑷“监理机构”是指监理人派驻本工程现场实施监理业务的组织。</w:t>
      </w:r>
    </w:p>
    <w:p w14:paraId="77DF298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⑸“总监理工程师”是指经</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同意，监理人派到监理机构全面履行本合同的全权负责人。</w:t>
      </w:r>
    </w:p>
    <w:p w14:paraId="71235F78">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⑹“承包人”是指除监理人以外，</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就工程建设有关事宜签订合同的当事人。</w:t>
      </w:r>
    </w:p>
    <w:p w14:paraId="625362E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pacing w:val="-4"/>
          <w:sz w:val="28"/>
          <w:szCs w:val="28"/>
          <w:highlight w:val="none"/>
        </w:rPr>
      </w:pPr>
      <w:r>
        <w:rPr>
          <w:rFonts w:hint="eastAsia" w:ascii="仿宋_GB2312" w:hAnsi="仿宋_GB2312" w:eastAsia="仿宋_GB2312" w:cs="仿宋_GB2312"/>
          <w:color w:val="auto"/>
          <w:sz w:val="28"/>
          <w:szCs w:val="28"/>
          <w:highlight w:val="none"/>
        </w:rPr>
        <w:t>⑺</w:t>
      </w:r>
      <w:r>
        <w:rPr>
          <w:rFonts w:hint="eastAsia" w:ascii="仿宋_GB2312" w:hAnsi="仿宋_GB2312" w:eastAsia="仿宋_GB2312" w:cs="仿宋_GB2312"/>
          <w:color w:val="auto"/>
          <w:spacing w:val="-4"/>
          <w:sz w:val="28"/>
          <w:szCs w:val="28"/>
          <w:highlight w:val="none"/>
        </w:rPr>
        <w:t>“设计人”是指承担设计业务和承担设计责任的一方，以及其合法继承人。</w:t>
      </w:r>
    </w:p>
    <w:p w14:paraId="06910DCF">
      <w:pPr>
        <w:keepNext w:val="0"/>
        <w:keepLines w:val="0"/>
        <w:pageBreakBefore w:val="0"/>
        <w:widowControl/>
        <w:kinsoku/>
        <w:wordWrap/>
        <w:overflowPunct/>
        <w:topLinePunct w:val="0"/>
        <w:autoSpaceDE/>
        <w:autoSpaceDN/>
        <w:bidi w:val="0"/>
        <w:adjustRightInd/>
        <w:snapToGrid/>
        <w:spacing w:line="560" w:lineRule="exact"/>
        <w:ind w:firstLine="420" w:firstLineChars="15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⑻“工程监理的正常工作”是指双方在专用条件中约定，</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委托的监理工作范围和内容。</w:t>
      </w:r>
    </w:p>
    <w:p w14:paraId="6985783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⑼“工程监理的附加工作”是指：①</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委托监理范围以外，通过双方书面协议另外增加的工作内容；②由于</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或承包人原因，使监理工作受到阻碍或延误，因增加工作量或持续时间而增加的工作。</w:t>
      </w:r>
    </w:p>
    <w:p w14:paraId="3049776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⑽“工程监理的额外工作”是指正常工作和附加工作以外，根据8.6条规定监理人必须完成的工作，或非监理人员自己的原因而暂停或终止监理业务，其善后工作及恢复监理业务的工作。</w:t>
      </w:r>
    </w:p>
    <w:p w14:paraId="17BD6DB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⑾“日”是指任何一天零时至第二天零时的时间段。</w:t>
      </w:r>
    </w:p>
    <w:p w14:paraId="18CD630D">
      <w:pPr>
        <w:keepNext w:val="0"/>
        <w:keepLines w:val="0"/>
        <w:pageBreakBefore w:val="0"/>
        <w:widowControl/>
        <w:kinsoku/>
        <w:wordWrap/>
        <w:overflowPunct/>
        <w:topLinePunct w:val="0"/>
        <w:autoSpaceDE/>
        <w:autoSpaceDN/>
        <w:bidi w:val="0"/>
        <w:adjustRightInd/>
        <w:snapToGrid/>
        <w:spacing w:line="560" w:lineRule="exact"/>
        <w:ind w:firstLine="588" w:firstLineChars="21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⑿“月”是指根据公历从一个月份中任何一天开始到下一个月相应日期的前一天的时间段。</w:t>
      </w:r>
    </w:p>
    <w:p w14:paraId="34A79BCD">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  建设工程委托监理合同适用的法律是指国家的法律、行政法规，以及专用条件中议定的部门规章或工程所在地的地方法规、地方规章。</w:t>
      </w:r>
    </w:p>
    <w:p w14:paraId="70B58248">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  本合同文件使用汉语语言文字书写、解释和说明。如专用条件约定使</w:t>
      </w:r>
      <w:r>
        <w:rPr>
          <w:rFonts w:hint="eastAsia" w:ascii="仿宋_GB2312" w:hAnsi="仿宋_GB2312" w:eastAsia="仿宋_GB2312" w:cs="仿宋_GB2312"/>
          <w:color w:val="auto"/>
          <w:spacing w:val="-4"/>
          <w:sz w:val="28"/>
          <w:szCs w:val="28"/>
          <w:highlight w:val="none"/>
        </w:rPr>
        <w:t>用两种以上（含两种）语言文字时，汉语应为解释和说明本合同的标准语言文字。</w:t>
      </w:r>
    </w:p>
    <w:p w14:paraId="3B47599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2 监理人义务</w:t>
      </w:r>
    </w:p>
    <w:p w14:paraId="78405DB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2.1  监理人按合同约定派出监理工作需要的监理机构及监理人员，向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报送委派的总监理工程师及其监理机构主要成员名单、监理规划，完成监理合同专用条件中约定的监理工程范围内的监理业务。在履行合同义务期间，应按合同约定定期向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报告监理工作。</w:t>
      </w:r>
    </w:p>
    <w:p w14:paraId="441CD074">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2.2  监理人在履行本合同的义务期间，应认真、勤奋地工作，为</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提供与其水平相适应的咨询意见，公正维护各方面的合法权益。</w:t>
      </w:r>
    </w:p>
    <w:p w14:paraId="3D81CA2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2.3  监理人使用</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提供的设施和物品属</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的财产。在监理工作完成或中止时，应将其设施和剩余的物品按合同约定的时间和方式移交给</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w:t>
      </w:r>
    </w:p>
    <w:p w14:paraId="6C654F2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  在合同期内或合同终止后，未征得有关方同意，不得泄露与本工程、本合同业务有关的保密资料。</w:t>
      </w:r>
    </w:p>
    <w:p w14:paraId="416D240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 xml:space="preserve">3 </w:t>
      </w:r>
      <w:r>
        <w:rPr>
          <w:rFonts w:hint="default" w:ascii="仿宋_GB2312" w:hAnsi="仿宋_GB2312" w:eastAsia="仿宋_GB2312" w:cs="仿宋_GB2312"/>
          <w:b/>
          <w:bCs/>
          <w:color w:val="auto"/>
          <w:sz w:val="28"/>
          <w:szCs w:val="28"/>
          <w:highlight w:val="none"/>
          <w:lang w:val="en-US" w:eastAsia="zh-CN"/>
        </w:rPr>
        <w:t>招标</w:t>
      </w:r>
      <w:r>
        <w:rPr>
          <w:rFonts w:hint="eastAsia" w:ascii="仿宋_GB2312" w:hAnsi="仿宋_GB2312" w:eastAsia="仿宋_GB2312" w:cs="仿宋_GB2312"/>
          <w:b/>
          <w:bCs/>
          <w:color w:val="auto"/>
          <w:sz w:val="28"/>
          <w:szCs w:val="28"/>
          <w:highlight w:val="none"/>
          <w:lang w:eastAsia="zh-CN"/>
        </w:rPr>
        <w:t>人</w:t>
      </w:r>
      <w:r>
        <w:rPr>
          <w:rFonts w:hint="eastAsia" w:ascii="仿宋_GB2312" w:hAnsi="仿宋_GB2312" w:eastAsia="仿宋_GB2312" w:cs="仿宋_GB2312"/>
          <w:b/>
          <w:bCs/>
          <w:color w:val="auto"/>
          <w:sz w:val="28"/>
          <w:szCs w:val="28"/>
          <w:highlight w:val="none"/>
        </w:rPr>
        <w:t>义务</w:t>
      </w:r>
    </w:p>
    <w:p w14:paraId="77C2406D">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3.1  </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应依据合同约定按期支付合同款。</w:t>
      </w:r>
    </w:p>
    <w:p w14:paraId="43C853DC">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3.2  </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应当负责工程建设的所有外部关系的协调，为监理工作提供外部条件。根据需要，如将部分或全部协调工作委托监理人承担，则应在专用条件中明确委托的工作和相应的报酬。</w:t>
      </w:r>
    </w:p>
    <w:p w14:paraId="7238ED9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3.3  </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应当在双方约定的时间内免费向监理人提供与工程有关的为监理工作所需要的工程资料。</w:t>
      </w:r>
    </w:p>
    <w:p w14:paraId="3019CDF5">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3.4  </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应当在专用条款约定的时间内就监理人书面提交并要求作出决定的一切事宜作出书面决定。</w:t>
      </w:r>
    </w:p>
    <w:p w14:paraId="4F97E9D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3.5  </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应当授权一名熟悉工程情况、能在规定时间内作出决定的常驻代表（在专用条款中约定），负责与监理人联系。更换常驻代表，要提前通知监理人。</w:t>
      </w:r>
    </w:p>
    <w:p w14:paraId="7DF8587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3.6  </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应当将授予监理人的监理权利，以及监理人主要成员的职能分工、监理权限及时书面通知已选定的承包合同的承包人，并在与第三人签订的合同中予以明确。</w:t>
      </w:r>
    </w:p>
    <w:p w14:paraId="5EF6C83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3.7  </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应在不影响监理人开展监理工作的时间内提供如下资料：</w:t>
      </w:r>
    </w:p>
    <w:p w14:paraId="1EC2942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无。</w:t>
      </w:r>
    </w:p>
    <w:p w14:paraId="22D50D11">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3.8  </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向监理人提供办公用房、通讯设施、监理人员工地住房</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其它见</w:t>
      </w:r>
      <w:r>
        <w:rPr>
          <w:rFonts w:hint="eastAsia" w:ascii="仿宋_GB2312" w:hAnsi="仿宋_GB2312" w:eastAsia="仿宋_GB2312" w:cs="仿宋_GB2312"/>
          <w:color w:val="auto"/>
          <w:sz w:val="28"/>
          <w:szCs w:val="28"/>
          <w:highlight w:val="none"/>
        </w:rPr>
        <w:t>合</w:t>
      </w:r>
      <w:r>
        <w:rPr>
          <w:rFonts w:hint="eastAsia" w:ascii="仿宋_GB2312" w:hAnsi="仿宋_GB2312" w:eastAsia="仿宋_GB2312" w:cs="仿宋_GB2312"/>
          <w:color w:val="auto"/>
          <w:sz w:val="28"/>
          <w:szCs w:val="28"/>
          <w:highlight w:val="none"/>
        </w:rPr>
        <w:t>同专用条件约定。</w:t>
      </w:r>
    </w:p>
    <w:p w14:paraId="7AB00B2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3.9根据情况需要，如果双方约定，由</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免费向监理人提供其他人员，应在监理合同专用条件中予以明确。</w:t>
      </w:r>
    </w:p>
    <w:p w14:paraId="1D2306B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4 监理人权利</w:t>
      </w:r>
    </w:p>
    <w:p w14:paraId="037D917D">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4.1  监理人在</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委托的工程范围内，享有以下权利：</w:t>
      </w:r>
    </w:p>
    <w:p w14:paraId="1EE6E026">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审批工程施工组织设计和技术方案，按照保质量、保工期和降低成本的原则，向承包人提出建议，并向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提出书面报告。</w:t>
      </w:r>
    </w:p>
    <w:p w14:paraId="08F3E7EA">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(2)主持工程建设有关协作单位的组织协调，重要协调事项应当事先向</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报告。</w:t>
      </w:r>
    </w:p>
    <w:p w14:paraId="614479EC">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(3)征得</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同意，监理人有权发布开工令、停工令、复工令。如在紧急情况下未能事先报告时，则应在24小时内向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作出书面报告。</w:t>
      </w:r>
    </w:p>
    <w:p w14:paraId="51A3DE6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1573E928">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(5)工程施工进度的检查、监督权，以及工程实际竣工日期提前或超过工程施工合同规定的竣工期限的签订权。</w:t>
      </w:r>
    </w:p>
    <w:p w14:paraId="678209B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在工程施工合同约定的工程价格范围内，工程款支付的审核和签认权，以及工程结算的复核确认权与否决权。未经总监理工程师签字确认，</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不支付工程款。</w:t>
      </w:r>
    </w:p>
    <w:p w14:paraId="65E7CAC0">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4.2  监理人在</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授权下，可对任何承包人合同规定的义务提出变更。如果由此严重影响了工程费用</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质量或进度，则这种变更须经</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事先批准。在紧急情况下未能事先报</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批准时，监理人所做的变更也应尽快通知</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。在监理过程中如发现工程承包人员工作不力，监理机构</w:t>
      </w:r>
      <w:r>
        <w:rPr>
          <w:rFonts w:hint="eastAsia" w:ascii="仿宋_GB2312" w:hAnsi="仿宋_GB2312" w:eastAsia="仿宋_GB2312" w:cs="仿宋_GB2312"/>
          <w:color w:val="auto"/>
          <w:sz w:val="28"/>
          <w:szCs w:val="28"/>
          <w:highlight w:val="none"/>
        </w:rPr>
        <w:t>在征得</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人同意后</w:t>
      </w:r>
      <w:r>
        <w:rPr>
          <w:rFonts w:hint="eastAsia" w:ascii="仿宋_GB2312" w:hAnsi="仿宋_GB2312" w:eastAsia="仿宋_GB2312" w:cs="仿宋_GB2312"/>
          <w:color w:val="auto"/>
          <w:sz w:val="28"/>
          <w:szCs w:val="28"/>
          <w:highlight w:val="none"/>
        </w:rPr>
        <w:t>可要求承包人调换有关人员。</w:t>
      </w:r>
    </w:p>
    <w:p w14:paraId="4EABDEA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  在委托的工程范围内，</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或承包人对对方的任何意见和要求（包括索赔要求），均必须首先向监理机构提出，由监理机构研究处置意见，再同双方协商确定。当</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和承包人发生争议时，监理机构应根据自己的职能，以独立的身份判断，公正地进行调解。当双方的争议由政府建设行政主管部门调解或仲裁机关仲裁时，应当提供</w:t>
      </w:r>
      <w:r>
        <w:rPr>
          <w:rFonts w:hint="eastAsia" w:ascii="仿宋_GB2312" w:hAnsi="仿宋_GB2312" w:eastAsia="仿宋_GB2312" w:cs="仿宋_GB2312"/>
          <w:color w:val="auto"/>
          <w:sz w:val="28"/>
          <w:szCs w:val="28"/>
          <w:highlight w:val="none"/>
          <w:lang w:val="en-US" w:eastAsia="zh-CN"/>
        </w:rPr>
        <w:t>佐</w:t>
      </w:r>
      <w:r>
        <w:rPr>
          <w:rFonts w:hint="eastAsia" w:ascii="仿宋_GB2312" w:hAnsi="仿宋_GB2312" w:eastAsia="仿宋_GB2312" w:cs="仿宋_GB2312"/>
          <w:color w:val="auto"/>
          <w:sz w:val="28"/>
          <w:szCs w:val="28"/>
          <w:highlight w:val="none"/>
        </w:rPr>
        <w:t>证</w:t>
      </w:r>
      <w:r>
        <w:rPr>
          <w:rFonts w:hint="eastAsia" w:ascii="仿宋_GB2312" w:hAnsi="仿宋_GB2312" w:eastAsia="仿宋_GB2312" w:cs="仿宋_GB2312"/>
          <w:color w:val="auto"/>
          <w:sz w:val="28"/>
          <w:szCs w:val="28"/>
          <w:highlight w:val="none"/>
        </w:rPr>
        <w:t>的事实材料。</w:t>
      </w:r>
    </w:p>
    <w:p w14:paraId="0FEDED9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 xml:space="preserve">5 </w:t>
      </w:r>
      <w:r>
        <w:rPr>
          <w:rFonts w:hint="default" w:ascii="仿宋_GB2312" w:hAnsi="仿宋_GB2312" w:eastAsia="仿宋_GB2312" w:cs="仿宋_GB2312"/>
          <w:b/>
          <w:bCs/>
          <w:color w:val="auto"/>
          <w:sz w:val="28"/>
          <w:szCs w:val="28"/>
          <w:highlight w:val="none"/>
          <w:lang w:val="en-US" w:eastAsia="zh-CN"/>
        </w:rPr>
        <w:t>招标</w:t>
      </w:r>
      <w:r>
        <w:rPr>
          <w:rFonts w:hint="eastAsia" w:ascii="仿宋_GB2312" w:hAnsi="仿宋_GB2312" w:eastAsia="仿宋_GB2312" w:cs="仿宋_GB2312"/>
          <w:b/>
          <w:bCs/>
          <w:color w:val="auto"/>
          <w:sz w:val="28"/>
          <w:szCs w:val="28"/>
          <w:highlight w:val="none"/>
          <w:lang w:eastAsia="zh-CN"/>
        </w:rPr>
        <w:t>人</w:t>
      </w:r>
      <w:r>
        <w:rPr>
          <w:rFonts w:hint="eastAsia" w:ascii="仿宋_GB2312" w:hAnsi="仿宋_GB2312" w:eastAsia="仿宋_GB2312" w:cs="仿宋_GB2312"/>
          <w:b/>
          <w:bCs/>
          <w:color w:val="auto"/>
          <w:sz w:val="28"/>
          <w:szCs w:val="28"/>
          <w:highlight w:val="none"/>
        </w:rPr>
        <w:t>权利</w:t>
      </w:r>
    </w:p>
    <w:p w14:paraId="53BAF79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 xml:space="preserve">  监理人调换总监理工程师须事先经</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同意。</w:t>
      </w:r>
    </w:p>
    <w:p w14:paraId="03226466">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 xml:space="preserve">  </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有权要求监理人提交监理工作月报及监理业务范围内的专项报告。</w:t>
      </w:r>
    </w:p>
    <w:p w14:paraId="1D04092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  当</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发现监理人员不按监理合同履行监理职责，或与承包人串通给</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或工程造成损失的，</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有权要求监理人更换监理人员，直到终止合同并要求监理人承担相应的赔偿责任或连带赔偿责任。</w:t>
      </w:r>
    </w:p>
    <w:p w14:paraId="65ED36C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6 监理人责任</w:t>
      </w:r>
    </w:p>
    <w:p w14:paraId="0648EDA6">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6.1  </w:t>
      </w:r>
      <w:r>
        <w:rPr>
          <w:rFonts w:hint="eastAsia" w:ascii="仿宋_GB2312" w:hAnsi="仿宋_GB2312" w:eastAsia="仿宋_GB2312" w:cs="仿宋_GB2312"/>
          <w:color w:val="auto"/>
          <w:sz w:val="28"/>
          <w:szCs w:val="28"/>
          <w:highlight w:val="none"/>
        </w:rPr>
        <w:t>监理人的责任期即委托监理合同有效期。</w:t>
      </w:r>
    </w:p>
    <w:p w14:paraId="3916150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6.2  监理人在责任期内，应当履行约定的义务。如果因监理人过失而造成了</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的经济损失，应当向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赔偿。累计赔偿总额不应超过监理报酬总额（除去税金）。</w:t>
      </w:r>
    </w:p>
    <w:p w14:paraId="7A74725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6.3  监理人对承包人违反合同规定的质量要求和完工（交图、交货）时限，不承担责任。因不可抗力导致委托监理合同不能全部或部分履行，监理人不承担责任。但对违反第五条规定引起的与之有关的事宜，向</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承担赔偿责任。</w:t>
      </w:r>
    </w:p>
    <w:p w14:paraId="1228252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6.4  监理人向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提出赔偿要求不能成立时，监理人应当补偿由于该索赔所导致</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的各种费用支出。</w:t>
      </w:r>
    </w:p>
    <w:p w14:paraId="3F5B6A4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 xml:space="preserve">7 </w:t>
      </w:r>
      <w:r>
        <w:rPr>
          <w:rFonts w:hint="default" w:ascii="仿宋_GB2312" w:hAnsi="仿宋_GB2312" w:eastAsia="仿宋_GB2312" w:cs="仿宋_GB2312"/>
          <w:b/>
          <w:bCs/>
          <w:color w:val="auto"/>
          <w:sz w:val="28"/>
          <w:szCs w:val="28"/>
          <w:highlight w:val="none"/>
          <w:lang w:val="en-US" w:eastAsia="zh-CN"/>
        </w:rPr>
        <w:t>招标</w:t>
      </w:r>
      <w:r>
        <w:rPr>
          <w:rFonts w:hint="eastAsia" w:ascii="仿宋_GB2312" w:hAnsi="仿宋_GB2312" w:eastAsia="仿宋_GB2312" w:cs="仿宋_GB2312"/>
          <w:b/>
          <w:bCs/>
          <w:color w:val="auto"/>
          <w:sz w:val="28"/>
          <w:szCs w:val="28"/>
          <w:highlight w:val="none"/>
          <w:lang w:eastAsia="zh-CN"/>
        </w:rPr>
        <w:t>人</w:t>
      </w:r>
      <w:r>
        <w:rPr>
          <w:rFonts w:hint="eastAsia" w:ascii="仿宋_GB2312" w:hAnsi="仿宋_GB2312" w:eastAsia="仿宋_GB2312" w:cs="仿宋_GB2312"/>
          <w:b/>
          <w:bCs/>
          <w:color w:val="auto"/>
          <w:sz w:val="28"/>
          <w:szCs w:val="28"/>
          <w:highlight w:val="none"/>
        </w:rPr>
        <w:t>责任</w:t>
      </w:r>
    </w:p>
    <w:p w14:paraId="09807405">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7.1  </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应当履行委托监理合同约定的义务，如有违反则应当承担违约责任，赔偿给监理人造成的经济损失。监理人处理委托业务时，因非监理人原因的事由受到损失的，可以向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要求补偿损失。</w:t>
      </w:r>
    </w:p>
    <w:p w14:paraId="0B8708E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7.2  </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如果向监理人提出赔偿的要求不能成立，则应当补偿由该索赔所引起的监理人的各种费用支出。</w:t>
      </w:r>
    </w:p>
    <w:p w14:paraId="619D2FC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8 合同生效、变更与终止</w:t>
      </w:r>
    </w:p>
    <w:p w14:paraId="17073E74">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8.1  由于</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或承包人的原因使监理工作受到阻碍或延误，以致发生了附加工作或延长了持续时间，则监理人应当将此情况与可能产生的影响及时通知</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。完成监理业务的时间相应延长，</w:t>
      </w:r>
      <w:r>
        <w:rPr>
          <w:rFonts w:hint="eastAsia" w:ascii="仿宋_GB2312" w:hAnsi="仿宋_GB2312" w:eastAsia="仿宋_GB2312" w:cs="仿宋_GB2312"/>
          <w:color w:val="auto"/>
          <w:sz w:val="28"/>
          <w:szCs w:val="28"/>
          <w:highlight w:val="none"/>
          <w:lang w:val="en-US" w:eastAsia="zh-CN"/>
        </w:rPr>
        <w:t>不增加监理</w:t>
      </w:r>
      <w:r>
        <w:rPr>
          <w:rFonts w:hint="eastAsia" w:ascii="仿宋_GB2312" w:hAnsi="仿宋_GB2312" w:eastAsia="仿宋_GB2312" w:cs="仿宋_GB2312"/>
          <w:color w:val="auto"/>
          <w:sz w:val="28"/>
          <w:szCs w:val="28"/>
          <w:highlight w:val="none"/>
        </w:rPr>
        <w:t>报酬。</w:t>
      </w:r>
    </w:p>
    <w:p w14:paraId="7A55813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8.2  在委托监理合同签订后，实际情况发生变化，使得监理人不能全部或部分执行监理业务时，监理人应当立即通知</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。该监理业务的完成时间应予延长。当恢复执行监理业务时，应当增加不超过42日的时间用于恢复执行监理业务，</w:t>
      </w:r>
      <w:r>
        <w:rPr>
          <w:rFonts w:hint="eastAsia" w:ascii="仿宋_GB2312" w:hAnsi="仿宋_GB2312" w:eastAsia="仿宋_GB2312" w:cs="仿宋_GB2312"/>
          <w:color w:val="auto"/>
          <w:sz w:val="28"/>
          <w:szCs w:val="28"/>
          <w:highlight w:val="none"/>
        </w:rPr>
        <w:t>不增加监理报酬。</w:t>
      </w:r>
    </w:p>
    <w:p w14:paraId="0006178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8.3  监理人向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办理完竣工验收或工程移交手续，承包人和</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已签订工程保修责任书，监理人收到监理报酬尾款，本合同即终止。保修期间的责任，双方在专用条款中约定。</w:t>
      </w:r>
    </w:p>
    <w:p w14:paraId="399C050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8.4  当事人一方要求变更或解除合同时，应当在42日前通知对方，因解除合同使一方遭受损失的，除依法可以免除责任的外，应由责任方负责赔偿。</w:t>
      </w:r>
    </w:p>
    <w:p w14:paraId="752C102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变更或解除合同的通知或协议必须采取书面形式，协议未达成之前，原合同仍然有效。</w:t>
      </w:r>
    </w:p>
    <w:p w14:paraId="6595E38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8.5  监理人在应当获得监理报酬之日起30日内仍未收到支付单据，而</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又未对监理人提出任何书面解释时，或根据8.3条及8.4条已暂停执行监理业务时限超过六个月的，监理人可向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发出答复，可进一步发出终止合同的通知，如果第二份通知发出后42日内仍未得到</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答复，可终止合同或自行暂停或继续暂停执行全部或部分监理业务。</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承担违约责任。</w:t>
      </w:r>
    </w:p>
    <w:p w14:paraId="1E28913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8.6  监理人由于非自己的原因而暂停或终止执行监理业务，其善后工作以及恢复执行监理业务的工作，应当视为额外工作，</w:t>
      </w:r>
      <w:r>
        <w:rPr>
          <w:rFonts w:hint="eastAsia" w:ascii="仿宋_GB2312" w:hAnsi="仿宋_GB2312" w:eastAsia="仿宋_GB2312" w:cs="仿宋_GB2312"/>
          <w:color w:val="auto"/>
          <w:sz w:val="28"/>
          <w:szCs w:val="28"/>
          <w:highlight w:val="none"/>
          <w:lang w:val="en-US" w:eastAsia="zh-CN"/>
        </w:rPr>
        <w:t>不增加监理</w:t>
      </w:r>
      <w:r>
        <w:rPr>
          <w:rFonts w:hint="eastAsia" w:ascii="仿宋_GB2312" w:hAnsi="仿宋_GB2312" w:eastAsia="仿宋_GB2312" w:cs="仿宋_GB2312"/>
          <w:color w:val="auto"/>
          <w:sz w:val="28"/>
          <w:szCs w:val="28"/>
          <w:highlight w:val="none"/>
        </w:rPr>
        <w:t>报酬。</w:t>
      </w:r>
    </w:p>
    <w:p w14:paraId="4071EF1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8.7  当</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认为监理人无正当理由而又未履行监理义务时，可向监理人发出指明其未履行义务的通知。若</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发出通知后21日内没有收到答复，可在第一个通知发出后35日内发出终止委托监理合同的通知，合同即行终止。监理人承担违约责任。</w:t>
      </w:r>
    </w:p>
    <w:p w14:paraId="7C41A9D6">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8.8  合同协议的终止并不影响各方应有的权利和应当承担的责任。</w:t>
      </w:r>
    </w:p>
    <w:p w14:paraId="5CB745A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9 监理报酬</w:t>
      </w:r>
    </w:p>
    <w:p w14:paraId="5341F6AA">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9.1  正常的监理工作、附加工作和额外工作的报酬，按照监理合同专用条件中规定的方法计算，并按约定的时间和数额支付。</w:t>
      </w:r>
    </w:p>
    <w:p w14:paraId="118FD518">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 xml:space="preserve">  支付监理报酬所采取的货币币种、汇率由合同专用条件约定。</w:t>
      </w:r>
    </w:p>
    <w:p w14:paraId="366660F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  如果</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对监理人提交的支付通知中报酬或部分报酬项目提出异议，应当在收到支付通知书</w:t>
      </w:r>
      <w:r>
        <w:rPr>
          <w:rFonts w:hint="eastAsia" w:ascii="仿宋_GB2312" w:hAnsi="仿宋_GB2312" w:eastAsia="仿宋_GB2312" w:cs="仿宋_GB2312"/>
          <w:color w:val="auto"/>
          <w:sz w:val="28"/>
          <w:szCs w:val="28"/>
          <w:highlight w:val="none"/>
          <w:lang w:val="en-US" w:eastAsia="zh-CN"/>
        </w:rPr>
        <w:t>7天</w:t>
      </w:r>
      <w:r>
        <w:rPr>
          <w:rFonts w:hint="eastAsia" w:ascii="仿宋_GB2312" w:hAnsi="仿宋_GB2312" w:eastAsia="仿宋_GB2312" w:cs="仿宋_GB2312"/>
          <w:color w:val="auto"/>
          <w:sz w:val="28"/>
          <w:szCs w:val="28"/>
          <w:highlight w:val="none"/>
        </w:rPr>
        <w:t>内</w:t>
      </w:r>
      <w:r>
        <w:rPr>
          <w:rFonts w:hint="eastAsia" w:ascii="仿宋_GB2312" w:hAnsi="仿宋_GB2312" w:eastAsia="仿宋_GB2312" w:cs="仿宋_GB2312"/>
          <w:color w:val="auto"/>
          <w:sz w:val="28"/>
          <w:szCs w:val="28"/>
          <w:highlight w:val="none"/>
        </w:rPr>
        <w:t>向监理人发出表示异议的通知，但</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不得拖延其他无异议报酬项目的支付。</w:t>
      </w:r>
    </w:p>
    <w:p w14:paraId="74658BF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10 其它</w:t>
      </w:r>
    </w:p>
    <w:p w14:paraId="654D345B">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10.1  委托的建设工程所必要的监理人员出外考察、材料设备复试，其费用支出经</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同意的，在预算范围内向</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实报实销。</w:t>
      </w:r>
    </w:p>
    <w:p w14:paraId="0592CCB5">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10.2  监理业务范围内，如需聘用专家咨询或协助，由监理人聘用的，其费用由监理人承担；由</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聘用的，其费用由</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承担。</w:t>
      </w:r>
    </w:p>
    <w:p w14:paraId="7F94516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10.3  监理人在监理工作过程中提出的合理化建议，使</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得到了经济效益，</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应按专用条件中的约定给予经济奖励。</w:t>
      </w:r>
    </w:p>
    <w:p w14:paraId="69AC4E78">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10.4  监理人驻地监理机构及其职员不得接受监理工程项目施工承包人的任何报酬或者经济利益。</w:t>
      </w:r>
    </w:p>
    <w:p w14:paraId="7313EAB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监理人不得参与可能与合同规定的与</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的利益相冲突的任何活动。</w:t>
      </w:r>
    </w:p>
    <w:p w14:paraId="786FE55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10.5  监理人在监理过程中，不得泄露</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申明的秘密，监理人亦不得泄露设计人、承包人等提供并申明的秘密。</w:t>
      </w:r>
    </w:p>
    <w:p w14:paraId="3409741C">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10.6  监理人对于由其编制的所有文件拥有版权，</w:t>
      </w:r>
      <w:r>
        <w:rPr>
          <w:rFonts w:hint="default"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w:t>
      </w:r>
      <w:r>
        <w:rPr>
          <w:rFonts w:hint="eastAsia" w:ascii="仿宋_GB2312" w:hAnsi="仿宋_GB2312" w:eastAsia="仿宋_GB2312" w:cs="仿宋_GB2312"/>
          <w:color w:val="auto"/>
          <w:sz w:val="28"/>
          <w:szCs w:val="28"/>
          <w:highlight w:val="none"/>
        </w:rPr>
        <w:t>仅有权为本工程使用或复制此类文件。</w:t>
      </w:r>
    </w:p>
    <w:p w14:paraId="2CE6091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11 争议的解决</w:t>
      </w:r>
    </w:p>
    <w:p w14:paraId="2751E6BF">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  因违反或终止合同而引起的对对方损失和损害的赔偿，双方应当协商解决，如未能达成一致，可提交主管部门协调，如仍未能达到一致时，向工程所在地具有管辖权的人民法院起诉。</w:t>
      </w:r>
    </w:p>
    <w:p w14:paraId="5A465B72">
      <w:pPr>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color w:val="auto"/>
          <w:sz w:val="28"/>
          <w:szCs w:val="28"/>
          <w:highlight w:val="none"/>
        </w:rPr>
        <w:sectPr>
          <w:footerReference r:id="rId3" w:type="default"/>
          <w:pgSz w:w="11849" w:h="16781"/>
          <w:pgMar w:top="1383" w:right="1270" w:bottom="1417" w:left="1032" w:header="850" w:footer="850" w:gutter="567"/>
          <w:pgNumType w:fmt="numberInDash"/>
          <w:cols w:space="720" w:num="1"/>
          <w:rtlGutter w:val="0"/>
          <w:docGrid w:type="lines" w:linePitch="325" w:charSpace="0"/>
        </w:sectPr>
      </w:pPr>
    </w:p>
    <w:p w14:paraId="7C0D1BB7">
      <w:pPr>
        <w:keepNext/>
        <w:keepLines/>
        <w:pageBreakBefore w:val="0"/>
        <w:widowControl w:val="0"/>
        <w:kinsoku/>
        <w:wordWrap/>
        <w:overflowPunct/>
        <w:topLinePunct w:val="0"/>
        <w:autoSpaceDE/>
        <w:autoSpaceDN/>
        <w:bidi w:val="0"/>
        <w:spacing w:before="260" w:beforeLines="0" w:after="260" w:afterLines="0" w:line="560" w:lineRule="exact"/>
        <w:jc w:val="center"/>
        <w:textAlignment w:val="auto"/>
        <w:outlineLvl w:val="1"/>
        <w:rPr>
          <w:rFonts w:hint="eastAsia" w:ascii="仿宋_GB2312" w:hAnsi="仿宋_GB2312" w:eastAsia="仿宋_GB2312" w:cs="仿宋_GB2312"/>
          <w:b/>
          <w:bCs/>
          <w:color w:val="auto"/>
          <w:kern w:val="2"/>
          <w:sz w:val="28"/>
          <w:szCs w:val="28"/>
          <w:highlight w:val="none"/>
          <w:lang w:val="en-US" w:eastAsia="zh-CN" w:bidi="ar-SA"/>
        </w:rPr>
      </w:pPr>
      <w:bookmarkStart w:id="1" w:name="_Toc254"/>
      <w:bookmarkStart w:id="2" w:name="_Toc24738"/>
      <w:r>
        <w:rPr>
          <w:rFonts w:hint="eastAsia" w:ascii="仿宋_GB2312" w:hAnsi="仿宋_GB2312" w:eastAsia="仿宋_GB2312" w:cs="仿宋_GB2312"/>
          <w:b/>
          <w:bCs/>
          <w:color w:val="auto"/>
          <w:kern w:val="2"/>
          <w:sz w:val="28"/>
          <w:szCs w:val="28"/>
          <w:highlight w:val="none"/>
          <w:lang w:val="en-US" w:eastAsia="zh-CN" w:bidi="ar-SA"/>
        </w:rPr>
        <w:t>第二部分 专用条件</w:t>
      </w:r>
      <w:bookmarkEnd w:id="1"/>
      <w:bookmarkEnd w:id="2"/>
    </w:p>
    <w:p w14:paraId="0E3F6BDD">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 本合同适用的法律及监理依据：</w:t>
      </w:r>
    </w:p>
    <w:p w14:paraId="50DD4E10">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1.1  “工程”是指</w:t>
      </w:r>
      <w:r>
        <w:rPr>
          <w:rFonts w:hint="eastAsia" w:ascii="仿宋_GB2312" w:hAnsi="仿宋_GB2312" w:eastAsia="仿宋_GB2312" w:cs="仿宋_GB2312"/>
          <w:color w:val="auto"/>
          <w:kern w:val="0"/>
          <w:sz w:val="28"/>
          <w:szCs w:val="28"/>
        </w:rPr>
        <w:t>张掖青阳煤业有限公司青阳矿井及选煤厂地面建设工程</w:t>
      </w:r>
      <w:r>
        <w:rPr>
          <w:rFonts w:hint="eastAsia" w:ascii="仿宋_GB2312" w:hAnsi="仿宋_GB2312" w:eastAsia="仿宋_GB2312" w:cs="仿宋_GB2312"/>
          <w:color w:val="auto"/>
          <w:sz w:val="28"/>
          <w:szCs w:val="28"/>
          <w:lang w:eastAsia="zh-CN"/>
        </w:rPr>
        <w:t>。</w:t>
      </w:r>
    </w:p>
    <w:p w14:paraId="540CA1D3">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“招标人”是</w:t>
      </w:r>
      <w:r>
        <w:rPr>
          <w:rFonts w:hint="eastAsia" w:ascii="仿宋_GB2312" w:hAnsi="仿宋_GB2312" w:eastAsia="仿宋_GB2312" w:cs="仿宋_GB2312"/>
          <w:color w:val="auto"/>
          <w:sz w:val="28"/>
          <w:szCs w:val="28"/>
          <w:lang w:val="en-US" w:eastAsia="zh-CN"/>
        </w:rPr>
        <w:t>张掖青阳煤业有限公司</w:t>
      </w:r>
      <w:r>
        <w:rPr>
          <w:rFonts w:hint="eastAsia" w:ascii="仿宋_GB2312" w:hAnsi="仿宋_GB2312" w:eastAsia="仿宋_GB2312" w:cs="仿宋_GB2312"/>
          <w:color w:val="auto"/>
          <w:sz w:val="28"/>
          <w:szCs w:val="28"/>
          <w:lang w:eastAsia="zh-CN"/>
        </w:rPr>
        <w:t>，包括其承继者和经许可的受让人，在签订和执行合同阶段称为业主。</w:t>
      </w:r>
    </w:p>
    <w:p w14:paraId="0DC3B038">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“监理人”是指中标的监理人。</w:t>
      </w:r>
    </w:p>
    <w:p w14:paraId="594F54AA">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1.2  </w:t>
      </w:r>
      <w:r>
        <w:rPr>
          <w:rFonts w:hint="eastAsia" w:ascii="仿宋_GB2312" w:hAnsi="仿宋_GB2312" w:eastAsia="仿宋_GB2312" w:cs="仿宋_GB2312"/>
          <w:color w:val="auto"/>
          <w:kern w:val="0"/>
          <w:sz w:val="28"/>
          <w:szCs w:val="28"/>
        </w:rPr>
        <w:t>青阳矿井及选煤厂地面建设工程</w:t>
      </w:r>
      <w:r>
        <w:rPr>
          <w:rFonts w:hint="eastAsia" w:ascii="仿宋_GB2312" w:hAnsi="仿宋_GB2312" w:eastAsia="仿宋_GB2312" w:cs="仿宋_GB2312"/>
          <w:color w:val="auto"/>
          <w:sz w:val="28"/>
          <w:szCs w:val="28"/>
          <w:lang w:eastAsia="zh-CN"/>
        </w:rPr>
        <w:t>委托监理合同适用的法律是指国家的法律、行政法规，以及工程所在地的地方法规、地方规章及专用条件中议定的</w:t>
      </w:r>
      <w:r>
        <w:rPr>
          <w:rFonts w:hint="eastAsia" w:ascii="仿宋_GB2312" w:hAnsi="仿宋_GB2312" w:eastAsia="仿宋_GB2312" w:cs="仿宋_GB2312"/>
          <w:color w:val="auto"/>
          <w:sz w:val="28"/>
          <w:szCs w:val="28"/>
          <w:lang w:val="en-US" w:eastAsia="zh-CN"/>
        </w:rPr>
        <w:t>张掖青阳煤业有限公司等</w:t>
      </w:r>
      <w:r>
        <w:rPr>
          <w:rFonts w:hint="eastAsia" w:ascii="仿宋_GB2312" w:hAnsi="仿宋_GB2312" w:eastAsia="仿宋_GB2312" w:cs="仿宋_GB2312"/>
          <w:color w:val="auto"/>
          <w:sz w:val="28"/>
          <w:szCs w:val="28"/>
          <w:lang w:eastAsia="zh-CN"/>
        </w:rPr>
        <w:t>工程管理制度。</w:t>
      </w:r>
    </w:p>
    <w:p w14:paraId="1E10A31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（1）国家关于建设监理的有关法律、法规及行业的有关规定；</w:t>
      </w:r>
    </w:p>
    <w:p w14:paraId="160B02FF">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（2）国家关于工程建设的有关法律、法规及行业的有关规定；</w:t>
      </w:r>
    </w:p>
    <w:p w14:paraId="6075206B">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（3）国家及行业颁发的施工及验收规程、规范和质量验评标准；</w:t>
      </w:r>
    </w:p>
    <w:p w14:paraId="7C21FFAF">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（4）审定的初步设计、施工图纸及说明书、设计变更签证；</w:t>
      </w:r>
    </w:p>
    <w:p w14:paraId="1272F139">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（5）设备厂家提供的图纸及技术说明书；</w:t>
      </w:r>
    </w:p>
    <w:p w14:paraId="792A21C0">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（6）与招标人签定的本工程的设计、施工等有关合同；</w:t>
      </w:r>
    </w:p>
    <w:p w14:paraId="7BCA3D9A">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（7）本合同及附件。</w:t>
      </w:r>
    </w:p>
    <w:p w14:paraId="2162FF7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本合同文件使用中文书写、解释和说明。</w:t>
      </w:r>
    </w:p>
    <w:p w14:paraId="7D666C0C">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监理范围和监理工作内容（包括但不限于以下内容）：</w:t>
      </w:r>
    </w:p>
    <w:p w14:paraId="05A2E084">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青阳煤井及选煤厂地面建设工程施工监理服务内容主要包括：新建线路长度41.6km，其中架空线路约40.75km，电缆线路0.854km（2段），使用杆塔共149基的</w:t>
      </w:r>
      <w:r>
        <w:rPr>
          <w:rFonts w:hint="default" w:ascii="仿宋_GB2312" w:hAnsi="仿宋_GB2312" w:eastAsia="仿宋_GB2312" w:cs="仿宋_GB2312"/>
          <w:color w:val="auto"/>
          <w:sz w:val="28"/>
          <w:szCs w:val="28"/>
          <w:lang w:val="en-US" w:eastAsia="zh-CN"/>
        </w:rPr>
        <w:t>施工准备阶段、施工阶段、竣工验收阶段及缺陷责任阶段,具体以施工图和工程量清单范围内的全部建安工程,直至该工程通过验收为止的监理服务</w:t>
      </w:r>
      <w:r>
        <w:rPr>
          <w:rFonts w:hint="eastAsia" w:ascii="仿宋_GB2312" w:hAnsi="仿宋_GB2312" w:eastAsia="仿宋_GB2312" w:cs="仿宋_GB2312"/>
          <w:color w:val="auto"/>
          <w:sz w:val="28"/>
          <w:szCs w:val="28"/>
          <w:lang w:val="en-US" w:eastAsia="zh-CN"/>
        </w:rPr>
        <w:t>。</w:t>
      </w:r>
    </w:p>
    <w:p w14:paraId="17FD1C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监理工作按照四控制(安全、质量、工期、造价)、两管理(信息管理、合同管理)、一协调（有关单位间的工作关系）、一履职（履行建设工程安全生产管理的监理职责）的原则进行。监理人要制定本工程的监理规划报招标人批准后实施。总监理师要组织各专业制定监理实施细则报招标人备案,各专业按实施细则进行监理。主要工作服务内容如下：</w:t>
      </w:r>
    </w:p>
    <w:p w14:paraId="5F16D07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2.1按照《</w:t>
      </w:r>
      <w:r>
        <w:rPr>
          <w:rFonts w:hint="eastAsia" w:ascii="仿宋_GB2312" w:hAnsi="仿宋_GB2312" w:eastAsia="仿宋_GB2312" w:cs="仿宋_GB2312"/>
          <w:color w:val="auto"/>
          <w:sz w:val="28"/>
          <w:szCs w:val="28"/>
          <w:highlight w:val="none"/>
          <w:lang w:val="en-US" w:eastAsia="zh-CN"/>
        </w:rPr>
        <w:t>建设</w:t>
      </w:r>
      <w:r>
        <w:rPr>
          <w:rFonts w:hint="eastAsia" w:ascii="仿宋_GB2312" w:hAnsi="仿宋_GB2312" w:eastAsia="仿宋_GB2312" w:cs="仿宋_GB2312"/>
          <w:color w:val="auto"/>
          <w:sz w:val="28"/>
          <w:szCs w:val="28"/>
          <w:highlight w:val="none"/>
        </w:rPr>
        <w:t>工程监理规范》及国家工程建设监理相关的政策法规的要求开展监理工作。</w:t>
      </w:r>
    </w:p>
    <w:p w14:paraId="7F05FCAD">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2.2协助</w:t>
      </w:r>
      <w:r>
        <w:rPr>
          <w:rFonts w:hint="eastAsia" w:ascii="仿宋_GB2312" w:hAnsi="仿宋_GB2312" w:eastAsia="仿宋_GB2312" w:cs="仿宋_GB2312"/>
          <w:color w:val="auto"/>
          <w:sz w:val="28"/>
          <w:szCs w:val="28"/>
          <w:lang w:val="en-US" w:eastAsia="zh-CN"/>
        </w:rPr>
        <w:t>招标人</w:t>
      </w:r>
      <w:r>
        <w:rPr>
          <w:rFonts w:hint="eastAsia" w:ascii="仿宋_GB2312" w:hAnsi="仿宋_GB2312" w:eastAsia="仿宋_GB2312" w:cs="仿宋_GB2312"/>
          <w:color w:val="auto"/>
          <w:sz w:val="28"/>
          <w:szCs w:val="28"/>
          <w:lang w:val="en-US" w:eastAsia="zh-CN"/>
        </w:rPr>
        <w:t>落实施工现场“五通一平”条件，检查承包方开工准备工作。审核项目建设施工组织总设计、编制一级进度计划网络图。</w:t>
      </w:r>
    </w:p>
    <w:p w14:paraId="42B05C23">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2.3参加设计联络会，并提出监理意见。参与进厂主要材料、半成品、配套部件质量的检查、试验和验收。</w:t>
      </w:r>
    </w:p>
    <w:p w14:paraId="66C3E0E9">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2.4根据现行行业质量工艺标准、设备制造工艺标准，编制监理规划和实施细则，督促项目设计人编制创优设计方案，承包人编制施工组织设计、示范工程以及创优实施细则，并督促设计、施工等相关单位严格执行到位。</w:t>
      </w:r>
    </w:p>
    <w:p w14:paraId="2DF93C9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参与施工图交底，组织图纸会审。</w:t>
      </w:r>
      <w:r>
        <w:rPr>
          <w:rFonts w:hint="eastAsia" w:ascii="仿宋_GB2312" w:hAnsi="仿宋_GB2312" w:eastAsia="仿宋_GB2312" w:cs="仿宋_GB2312"/>
          <w:color w:val="auto"/>
          <w:sz w:val="28"/>
          <w:szCs w:val="28"/>
          <w:highlight w:val="none"/>
          <w:lang w:eastAsia="zh-CN"/>
        </w:rPr>
        <w:t>并在施工方面提出监理的意见。</w:t>
      </w:r>
    </w:p>
    <w:p w14:paraId="5CAC19CD">
      <w:pPr>
        <w:keepNext w:val="0"/>
        <w:keepLines w:val="0"/>
        <w:pageBreakBefore w:val="0"/>
        <w:kinsoku/>
        <w:wordWrap/>
        <w:overflowPunct/>
        <w:topLinePunct w:val="0"/>
        <w:autoSpaceDE/>
        <w:autoSpaceDN/>
        <w:bidi w:val="0"/>
        <w:adjustRightInd/>
        <w:snapToGrid/>
        <w:spacing w:line="560" w:lineRule="exact"/>
        <w:ind w:left="0" w:firstLine="560" w:firstLineChars="200"/>
        <w:jc w:val="both"/>
        <w:textAlignment w:val="auto"/>
        <w:outlineLvl w:val="3"/>
        <w:rPr>
          <w:rFonts w:hint="eastAsia" w:ascii="仿宋_GB2312" w:hAnsi="仿宋_GB2312" w:eastAsia="仿宋_GB2312" w:cs="仿宋_GB2312"/>
          <w:color w:val="auto"/>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bidi="ar-SA"/>
        </w:rPr>
        <w:t>2.6审核设计变更、签证。</w:t>
      </w:r>
    </w:p>
    <w:p w14:paraId="31DC947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组织现场协调会。</w:t>
      </w:r>
    </w:p>
    <w:p w14:paraId="699A6940">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2.8核查施工图方案是否进行优化。</w:t>
      </w:r>
    </w:p>
    <w:p w14:paraId="2A703ACA">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2.9复查和审核环保设计及措施，提出监理意见。</w:t>
      </w:r>
    </w:p>
    <w:p w14:paraId="14B82EB6">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2.10审查防火、防爆、防尘、防毒、防化学伤害、防暑、防寒、防潮、防噪音、防振动、防雷的设计方以及劳动卫生、工业卫生的措施。</w:t>
      </w:r>
    </w:p>
    <w:p w14:paraId="16FA1B2D">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2.11参与施工图交底，组织图纸会审。并在施工方面提出监理的意见。</w:t>
      </w:r>
    </w:p>
    <w:p w14:paraId="72438D6A">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2.12审核确认设计变更。</w:t>
      </w:r>
    </w:p>
    <w:p w14:paraId="7212F37C">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2.13对施工图交付进度进行核查、督促、协调，向招标人提供考核依据。</w:t>
      </w:r>
    </w:p>
    <w:p w14:paraId="50DB5DCE">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2.14主持审查承包人提交的施工组织设计，审核施工技术方案、施工质量保证措施、安全文明施工措施。并在施工方面提出监理的意见。</w:t>
      </w:r>
    </w:p>
    <w:p w14:paraId="470AB5DF">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2.15协助招标人监督检查承包人建立健全安全生产责任制和执行安全生产的有关规定与措施。监督检查承包商建立健全劳动安全生产教育培训制度，加强对职工安全生产的教育培训。参加由招标人组织的安全大检查，监督安全文明施工状况。遇到威胁安全的重大问题时，有权发出“暂停施工”的通知。</w:t>
      </w:r>
    </w:p>
    <w:p w14:paraId="1204D89C">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2.16严格控制土建交付安装、安装交付调试以及整套启动、移交生产所具备的安全文明施工条件。</w:t>
      </w:r>
    </w:p>
    <w:p w14:paraId="73E31DB9">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2.17 协助招标人组织安全大检查，安全文明施工检查，并督促落实整改措施。</w:t>
      </w:r>
    </w:p>
    <w:p w14:paraId="67A28FF9">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2.18 审查施工承包人大、中型起重机械安全准用证、安装（拆除）资质证、操作许可证，监督检查施工机械安装、拆除、使用和维修过程中的安全技术状况，发现问题及时督促整改。</w:t>
      </w:r>
    </w:p>
    <w:p w14:paraId="0E0DB3C6">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2.19检查现场施工人员中特殊工种持证上岗情况，并监督实施。</w:t>
      </w:r>
    </w:p>
    <w:p w14:paraId="2EFC4C96">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2.20协调解决施工承包人交叉作业和工序交接中存在的影响安全文明施工的问题，对重大问题，应跟踪控制。</w:t>
      </w:r>
    </w:p>
    <w:p w14:paraId="5ADCC5A9">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2.21根据招标人制定的里程碑计划编制一级网络计划，核查承包商编制的网络计划，并监督实施。审核承包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val="en-US" w:eastAsia="zh-CN"/>
        </w:rPr>
        <w:t>编制的年、月度施工进度计划，并监督实施。</w:t>
      </w:r>
    </w:p>
    <w:p w14:paraId="0AC6B38D">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2.22审批承包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val="en-US" w:eastAsia="zh-CN"/>
        </w:rPr>
        <w:t>单位工程、分部工程开工申请报告。</w:t>
      </w:r>
    </w:p>
    <w:p w14:paraId="34666449">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2.23审查承包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val="en-US" w:eastAsia="zh-CN"/>
        </w:rPr>
        <w:t>质保体系文件和质保手册并监督实施。</w:t>
      </w:r>
    </w:p>
    <w:p w14:paraId="5B5F5424">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2.24负责审查承包人编制的“施工质量检验项目划分表”并督促实施。</w:t>
      </w:r>
    </w:p>
    <w:p w14:paraId="6BCEFA45">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2.25主持分项、分部工程、关键工序和隐蔽工程的质量检查和验评，组织或参加工程质量检查、工程质量事故调查和处理，支持和配合工程安全鉴定和质量监督检查工作。</w:t>
      </w:r>
    </w:p>
    <w:p w14:paraId="4912BE69">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2.26参与工程施工进度和接口的协调。</w:t>
      </w:r>
    </w:p>
    <w:p w14:paraId="4220C0D2">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2.27 完成质保期阶段的监理工作，分析缺陷责任、督促有关单位及时完成缺陷处理，对承包人修复的工程质量进行验收，合格后予以签认。</w:t>
      </w:r>
    </w:p>
    <w:p w14:paraId="63A448C6">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2.28检查施工现场原材料、构配件的质量和采购入库、保管、领用等管理制度及其执行情况，并对原材料、构配件的供应商资质进行审核、确认。不合格的原材料与构件不得在工程中使用。对材料检验与试件采样进行采样、送样见证。未经监理工程师的签字，主要材料、设备和构件不准在工程上使用和安装，不准进入下一道工序的施工，不准拨付工程进度款，不准进行工程验收。</w:t>
      </w:r>
    </w:p>
    <w:p w14:paraId="4D93548B">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2.29制定并实施重点部位的见证点（W点）、停工待检点（H点）、旁站点（S点）的工程质量监理计划，监理人员要按作业程序即时跟班到位进行监督检查。停工待检点必须经监理工程师签字才能进入下一道工序。</w:t>
      </w:r>
    </w:p>
    <w:p w14:paraId="52654622">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2.30加主要设备的现场开箱验收。检查设备保管办法，并监督实施。</w:t>
      </w:r>
    </w:p>
    <w:p w14:paraId="04A385BB">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2.31组织协调设备及系统代保管工作，确认设备缺陷处理情况。</w:t>
      </w:r>
    </w:p>
    <w:p w14:paraId="02AB463F">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2.32</w:t>
      </w:r>
      <w:r>
        <w:rPr>
          <w:rFonts w:hint="eastAsia" w:ascii="仿宋_GB2312" w:hAnsi="仿宋_GB2312" w:eastAsia="仿宋_GB2312" w:cs="仿宋_GB2312"/>
          <w:color w:val="auto"/>
          <w:sz w:val="28"/>
          <w:szCs w:val="28"/>
          <w:lang w:val="en-US" w:eastAsia="zh-CN"/>
        </w:rPr>
        <w:t>审查承包人工程结算书（包括月度、单项竣工结算），协助招标</w:t>
      </w:r>
      <w:r>
        <w:rPr>
          <w:rFonts w:hint="eastAsia" w:ascii="仿宋_GB2312" w:hAnsi="仿宋_GB2312" w:eastAsia="仿宋_GB2312" w:cs="仿宋_GB2312"/>
          <w:color w:val="auto"/>
          <w:sz w:val="28"/>
          <w:szCs w:val="28"/>
          <w:lang w:val="en-US" w:eastAsia="zh-CN"/>
        </w:rPr>
        <w:t>人做好工程概算控制工作，严把工程结算审核关，工程付款必须有总监理工程师签字。</w:t>
      </w:r>
    </w:p>
    <w:p w14:paraId="71A040BE">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2.33监督承包合同的履行。</w:t>
      </w:r>
    </w:p>
    <w:p w14:paraId="5321F519">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2.35 审核竣工资料。</w:t>
      </w:r>
    </w:p>
    <w:p w14:paraId="416757EF">
      <w:pPr>
        <w:pageBreakBefore w:val="0"/>
        <w:tabs>
          <w:tab w:val="left" w:pos="1680"/>
        </w:tabs>
        <w:kinsoku/>
        <w:wordWrap/>
        <w:overflowPunct/>
        <w:topLinePunct w:val="0"/>
        <w:autoSpaceDE/>
        <w:autoSpaceDN/>
        <w:bidi w:val="0"/>
        <w:spacing w:line="560" w:lineRule="exact"/>
        <w:ind w:firstLine="840" w:firstLineChars="3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2.36配合建设单位完成工程的后评价工作，分析概算执行情况和投资效果。</w:t>
      </w:r>
    </w:p>
    <w:p w14:paraId="14B25837">
      <w:pPr>
        <w:pageBreakBefore w:val="0"/>
        <w:tabs>
          <w:tab w:val="left" w:pos="1680"/>
        </w:tabs>
        <w:kinsoku/>
        <w:wordWrap/>
        <w:overflowPunct/>
        <w:topLinePunct w:val="0"/>
        <w:autoSpaceDE/>
        <w:autoSpaceDN/>
        <w:bidi w:val="0"/>
        <w:spacing w:line="560" w:lineRule="exact"/>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2.37建立、健全工程监理档案，编制整理监理工作的各种文件、通知、记录、检测资料、图纸等。合同完成或终止时交给招标人。 </w:t>
      </w:r>
    </w:p>
    <w:p w14:paraId="29CA63AD">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2.50</w:t>
      </w:r>
      <w:r>
        <w:rPr>
          <w:rFonts w:hint="eastAsia" w:ascii="仿宋_GB2312" w:hAnsi="仿宋_GB2312" w:eastAsia="仿宋_GB2312" w:cs="仿宋_GB2312"/>
          <w:color w:val="auto"/>
          <w:sz w:val="28"/>
          <w:szCs w:val="28"/>
          <w:lang w:eastAsia="zh-CN"/>
        </w:rPr>
        <w:t>督促施工单位建立健全各项施工管理制度，并监督其实施。</w:t>
      </w:r>
    </w:p>
    <w:p w14:paraId="6231EADC">
      <w:pPr>
        <w:pageBreakBefore w:val="0"/>
        <w:tabs>
          <w:tab w:val="left" w:pos="859"/>
        </w:tabs>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2.51</w:t>
      </w:r>
      <w:r>
        <w:rPr>
          <w:rFonts w:hint="eastAsia" w:ascii="仿宋_GB2312" w:hAnsi="仿宋_GB2312" w:eastAsia="仿宋_GB2312" w:cs="仿宋_GB2312"/>
          <w:color w:val="auto"/>
          <w:sz w:val="28"/>
          <w:szCs w:val="28"/>
          <w:lang w:eastAsia="zh-CN"/>
        </w:rPr>
        <w:t>组织设计交底、施工图会审及技术相关的协调、专题等会议。</w:t>
      </w:r>
    </w:p>
    <w:p w14:paraId="3D9884C7">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2.52</w:t>
      </w:r>
      <w:r>
        <w:rPr>
          <w:rFonts w:hint="eastAsia" w:ascii="仿宋_GB2312" w:hAnsi="仿宋_GB2312" w:eastAsia="仿宋_GB2312" w:cs="仿宋_GB2312"/>
          <w:color w:val="auto"/>
          <w:sz w:val="28"/>
          <w:szCs w:val="28"/>
          <w:lang w:eastAsia="zh-CN"/>
        </w:rPr>
        <w:t>工程进度控制：</w:t>
      </w:r>
    </w:p>
    <w:p w14:paraId="12080B57">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监理单位通过有效的进度控制工作和具体的进度控制措施，在满足投资和质量要求的前提下，力求使工程实际工期不超过计划工期。</w:t>
      </w:r>
    </w:p>
    <w:p w14:paraId="0181BAAE">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为完成好工程进度监理控制，监理单位应当做好以下监理服务工作：根据施工招标和施工准备阶</w:t>
      </w:r>
      <w:r>
        <w:rPr>
          <w:rFonts w:hint="eastAsia" w:ascii="仿宋_GB2312" w:hAnsi="仿宋_GB2312" w:eastAsia="仿宋_GB2312" w:cs="仿宋_GB2312"/>
          <w:color w:val="auto"/>
          <w:sz w:val="28"/>
          <w:szCs w:val="28"/>
          <w:lang w:val="en-US" w:eastAsia="zh-CN"/>
        </w:rPr>
        <w:t>段的工程信息，进一步完善建设工程控制性进度计划，并据此进行施工阶段进度控制；审查施工单位施工进度计划，确认其可行性并满足建设工程控制性进度计划要求；制定业主方材料和设备供应进度计划并进行控制，使其满足施工要求；审查施工单位进度控制报告，督促施工单位做好施工进度控制；对施工进度进行跟踪，掌握施工动态；研究制定预防工期索赔的措施，做好处理工期索赔工作；在施工过程中，做好对人力、材料、机具、设备等的投入控制工作以及转换控制工作、信息反馈工作、对比和纠正工作，使进度控制定期连续进行；开好协调会议，及时协调有关各方关系，使工程施工顺利进行等其它相关的一系列进度控制工作。</w:t>
      </w:r>
    </w:p>
    <w:p w14:paraId="3114AC37">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2.53施工质量控制：</w:t>
      </w:r>
    </w:p>
    <w:p w14:paraId="4736F417">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监理单位通过有效的质量控制工作和具体的质量控制措施，在满足投资和进度要求的前提下，实现工程质量达到国家合格标准。</w:t>
      </w:r>
    </w:p>
    <w:p w14:paraId="442DAE2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为完成好工程质量监理控制，监理单位应当做好以下监理服务工作：协调业主做好施工现场准备工作，检查并协助搞好各项生产环境、劳动环境、管理环境条件；进行施工工艺过程质量控制工作；检查工序质量，严格工序交接检查制度；做好各项隐蔽工程的检查工作；做好工程变更方案的比选，保证工程质量；进行质量监督，行使质量监督权；</w:t>
      </w:r>
      <w:r>
        <w:rPr>
          <w:rFonts w:hint="eastAsia" w:ascii="仿宋_GB2312" w:hAnsi="仿宋_GB2312" w:eastAsia="仿宋_GB2312" w:cs="仿宋_GB2312"/>
          <w:color w:val="auto"/>
          <w:sz w:val="28"/>
          <w:szCs w:val="28"/>
          <w:lang w:eastAsia="zh-CN"/>
        </w:rPr>
        <w:t>为了实现本工程项目施工质量要求达到标准，根据合同所规定的工程监理项目，监理人应做好施工过程中重点工序的旁站监理工作，以保证工程质量始终处于受控状态。</w:t>
      </w:r>
      <w:r>
        <w:rPr>
          <w:rFonts w:hint="eastAsia" w:ascii="仿宋_GB2312" w:hAnsi="仿宋_GB2312" w:eastAsia="仿宋_GB2312" w:cs="仿宋_GB2312"/>
          <w:color w:val="auto"/>
          <w:sz w:val="28"/>
          <w:szCs w:val="28"/>
          <w:lang w:val="en-US" w:eastAsia="zh-CN"/>
        </w:rPr>
        <w:t>认真做好质量鉴证工作；行使质量否决权；组织质量协调会；做好质量验收准备工作；做好竣工验收工作；审核竣工图等其它相关的一系列质量控制工作。</w:t>
      </w:r>
    </w:p>
    <w:p w14:paraId="51162B7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2.54</w:t>
      </w:r>
      <w:r>
        <w:rPr>
          <w:rFonts w:hint="eastAsia" w:ascii="仿宋_GB2312" w:hAnsi="仿宋_GB2312" w:eastAsia="仿宋_GB2312" w:cs="仿宋_GB2312"/>
          <w:color w:val="auto"/>
          <w:sz w:val="28"/>
          <w:szCs w:val="28"/>
          <w:lang w:eastAsia="zh-CN"/>
        </w:rPr>
        <w:t>工程造价控制：</w:t>
      </w:r>
    </w:p>
    <w:p w14:paraId="04AB0EBB">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本工程投资控制的要求是监理单位通过有效的投资控制工作和具体的投资控制措施，在满足进度和质量要求的前提下，力求使工程实际投资不超过计划投资。</w:t>
      </w:r>
    </w:p>
    <w:p w14:paraId="6619C94F">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为完成好工程投资监理控制，监理单位应当做好以下监理服务工作：监理人应配备工程造价人员，对合同费用进行有效的控制。制定各阶段资金使用计划，并严格进行付款控制，做到不多付、不少付、不重复付；严格控制工程变更，力求减少变更费用；研究确定预防费用索赔的措施，以避免、减少对方的索赔数额；及时处理与工程进展密切相关的各项工作，如按期提交合格施工现场，按质、按量、按期提供材料和设备等工作；做好工程计量工作；审核施工单位提交的进度报表和结算报表等其它相关的一系列投资控制工作，协助委托人控制工程进度款的支付。每月、季、年底30日前提供监理工程投资月、季、年报一份。</w:t>
      </w:r>
    </w:p>
    <w:p w14:paraId="06D7470D">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2.55</w:t>
      </w:r>
      <w:r>
        <w:rPr>
          <w:rFonts w:hint="eastAsia" w:ascii="仿宋_GB2312" w:hAnsi="仿宋_GB2312" w:eastAsia="仿宋_GB2312" w:cs="仿宋_GB2312"/>
          <w:color w:val="auto"/>
          <w:sz w:val="28"/>
          <w:szCs w:val="28"/>
          <w:lang w:eastAsia="zh-CN"/>
        </w:rPr>
        <w:t>施工安全文明控制：</w:t>
      </w:r>
    </w:p>
    <w:p w14:paraId="4F9952D9">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建立健全安全生产责任制、建立健全安全生产教育培训制和执行安全生产的有关规定与措施。审查施工安全、劳动防护、环境保护以及汛期防洪渡汛等各项措施，并负责措施的监督检查、督促落实执行；负责常规安全检查，参加或者组织安全大检查和安全事故调查，并提出处理意见；负责检查所有进场施工单位、施工人员的资质和施工机具的检验证书，确保施工单位、施工人员持证上岗，确保机具检验合格有效；做好现场施工平面管理，依据安全文明施工管理制度做好监督检查工作。监督检查安全文明施工，书面提出存在问题及整改意见；下达对施工单位的违章、违制罚款通知单。遇到威胁安全的重大问题时，有权发出“暂缓施工”的通知，并及时通知委托人。</w:t>
      </w:r>
      <w:r>
        <w:rPr>
          <w:rFonts w:hint="eastAsia" w:ascii="仿宋_GB2312" w:hAnsi="仿宋_GB2312" w:eastAsia="仿宋_GB2312" w:cs="仿宋_GB2312"/>
          <w:color w:val="auto"/>
          <w:sz w:val="28"/>
          <w:szCs w:val="28"/>
          <w:lang w:val="en-US" w:eastAsia="zh-CN"/>
        </w:rPr>
        <w:t>监理单位针对本项目施工现场安全生产和文明施工具体的制定监理措施，</w:t>
      </w:r>
      <w:r>
        <w:rPr>
          <w:rFonts w:hint="eastAsia" w:ascii="仿宋_GB2312" w:hAnsi="仿宋_GB2312" w:eastAsia="仿宋_GB2312" w:cs="仿宋_GB2312"/>
          <w:color w:val="auto"/>
          <w:sz w:val="28"/>
          <w:szCs w:val="28"/>
          <w:lang w:eastAsia="zh-CN"/>
        </w:rPr>
        <w:t>监督</w:t>
      </w:r>
      <w:r>
        <w:rPr>
          <w:rFonts w:hint="eastAsia" w:ascii="仿宋_GB2312" w:hAnsi="仿宋_GB2312" w:eastAsia="仿宋_GB2312" w:cs="仿宋_GB2312"/>
          <w:color w:val="auto"/>
          <w:sz w:val="28"/>
          <w:szCs w:val="28"/>
          <w:lang w:val="en-US" w:eastAsia="zh-CN"/>
        </w:rPr>
        <w:t>施工单位确保安全文明施工费专款专用、足额使用；</w:t>
      </w:r>
      <w:r>
        <w:rPr>
          <w:rFonts w:hint="eastAsia" w:ascii="仿宋_GB2312" w:hAnsi="仿宋_GB2312" w:eastAsia="仿宋_GB2312" w:cs="仿宋_GB2312"/>
          <w:color w:val="auto"/>
          <w:sz w:val="28"/>
          <w:szCs w:val="28"/>
          <w:lang w:eastAsia="zh-CN"/>
        </w:rPr>
        <w:t>加强对安全文明施工费拨付情况、安全文明施工费使用情况的现场监理，发现未及时足额拨付安全文明施工费或未落实安全文明施工措施的，应立即要求整改。对关键、危险、重大作业行为进行旁站监督。 监督施工现场安全标准化作业方案的编写及审查，组织施工单位按安全标准化作业要求开展现场施工、作业；负责安全文明隔离措施的组织、落实，确保施工现场“5S”管理到位。督促施工单位编制应急预案,并定期组织开展应急演练工作。</w:t>
      </w:r>
    </w:p>
    <w:p w14:paraId="311757BB">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2.56</w:t>
      </w:r>
      <w:r>
        <w:rPr>
          <w:rFonts w:hint="eastAsia" w:ascii="仿宋_GB2312" w:hAnsi="仿宋_GB2312" w:eastAsia="仿宋_GB2312" w:cs="仿宋_GB2312"/>
          <w:color w:val="auto"/>
          <w:sz w:val="28"/>
          <w:szCs w:val="28"/>
          <w:lang w:eastAsia="zh-CN"/>
        </w:rPr>
        <w:t>合同管理：</w:t>
      </w:r>
    </w:p>
    <w:p w14:paraId="7581DF0A">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敦促和监督执行好施工合同。</w:t>
      </w:r>
    </w:p>
    <w:p w14:paraId="0CEC2E6A">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2.57</w:t>
      </w:r>
      <w:r>
        <w:rPr>
          <w:rFonts w:hint="eastAsia" w:ascii="仿宋_GB2312" w:hAnsi="仿宋_GB2312" w:eastAsia="仿宋_GB2312" w:cs="仿宋_GB2312"/>
          <w:color w:val="auto"/>
          <w:sz w:val="28"/>
          <w:szCs w:val="28"/>
          <w:lang w:eastAsia="zh-CN"/>
        </w:rPr>
        <w:t>信息管理：</w:t>
      </w:r>
    </w:p>
    <w:p w14:paraId="0DFF55B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策划、使用以网络为支撑的管理信息系统，进行质量、安全、投资、进度、合同等方面的信息管理。监督施工单位和本单位相关工作人员按时录入、修改信息系统中的相关数据，并负责其真实性。及时做好现场监理记录与信息反馈。参与编制工程项目总结报告。</w:t>
      </w:r>
      <w:r>
        <w:rPr>
          <w:rFonts w:hint="eastAsia" w:ascii="仿宋_GB2312" w:hAnsi="仿宋_GB2312" w:eastAsia="仿宋_GB2312" w:cs="仿宋_GB2312"/>
          <w:color w:val="auto"/>
          <w:sz w:val="28"/>
          <w:szCs w:val="28"/>
          <w:lang w:val="en-US" w:eastAsia="zh-CN"/>
        </w:rPr>
        <w:t>做好监理现场监理记录与信息反馈工作，按月向业主报送监理月报，以及业主合理要求提交的其它报告。</w:t>
      </w:r>
    </w:p>
    <w:p w14:paraId="33C168B4">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2.58其它方面：</w:t>
      </w:r>
    </w:p>
    <w:p w14:paraId="37E25249">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监理服务严格按照《建设工程监理规范》执行；监理单位应明确根据不同的监理实施阶段，针对本项目监理机构配置监理人员，在监理服务过程中，不得随意改变。根据工程的实际情况，应业主要求，还应增加合格监理人员数量。</w:t>
      </w:r>
    </w:p>
    <w:p w14:paraId="36D8243B">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工程开工前向业主提交本项目的监理规划。根据项目情况，还应提交监理实施细则。</w:t>
      </w:r>
    </w:p>
    <w:p w14:paraId="6D7F6590">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主持协调好监理委托合同授权范围内工程建设各方协调工作，</w:t>
      </w:r>
      <w:r>
        <w:rPr>
          <w:rFonts w:hint="eastAsia" w:ascii="仿宋_GB2312" w:hAnsi="仿宋_GB2312" w:eastAsia="仿宋_GB2312" w:cs="仿宋_GB2312"/>
          <w:color w:val="auto"/>
          <w:sz w:val="28"/>
          <w:szCs w:val="28"/>
          <w:lang w:eastAsia="zh-CN"/>
        </w:rPr>
        <w:t>协助委托人组织召开工程调度协调会，起草、发放施工协调会会议纪要。</w:t>
      </w:r>
    </w:p>
    <w:p w14:paraId="303D28F2">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监理文件材料整理：</w:t>
      </w:r>
      <w:r>
        <w:rPr>
          <w:rFonts w:hint="eastAsia" w:ascii="仿宋_GB2312" w:hAnsi="仿宋_GB2312" w:eastAsia="仿宋_GB2312" w:cs="仿宋_GB2312"/>
          <w:color w:val="auto"/>
          <w:sz w:val="28"/>
          <w:szCs w:val="28"/>
          <w:lang w:val="en-US" w:eastAsia="zh-CN"/>
        </w:rPr>
        <w:t>工程竣工验收前向业主提供监理工作总结和监理评估报告；</w:t>
      </w:r>
      <w:r>
        <w:rPr>
          <w:rFonts w:hint="eastAsia" w:ascii="仿宋_GB2312" w:hAnsi="仿宋_GB2312" w:eastAsia="仿宋_GB2312" w:cs="仿宋_GB2312"/>
          <w:color w:val="auto"/>
          <w:sz w:val="28"/>
          <w:szCs w:val="28"/>
          <w:lang w:eastAsia="zh-CN"/>
        </w:rPr>
        <w:t>编制整理监理服务的各种文件、通知、记录、检测文件材料、图纸等，监理服务合同完成或终止时移交给委托人。</w:t>
      </w:r>
      <w:r>
        <w:rPr>
          <w:rFonts w:hint="eastAsia" w:ascii="仿宋_GB2312" w:hAnsi="仿宋_GB2312" w:eastAsia="仿宋_GB2312" w:cs="仿宋_GB2312"/>
          <w:color w:val="auto"/>
          <w:sz w:val="28"/>
          <w:szCs w:val="28"/>
          <w:lang w:val="en-US" w:eastAsia="zh-CN"/>
        </w:rPr>
        <w:t>按国家规定的档案管理办法，在监理服务过程中，承担工程档案管理，对工程资料及档案按期进行整编和管理，在监理服务结束前，按业主要求移交工程监理档案资料。</w:t>
      </w:r>
    </w:p>
    <w:p w14:paraId="74A3DAA0">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审核竣工图纸并盖章签字，并参与审查工程项目竣工文件材料以及其他相关工作。</w:t>
      </w:r>
    </w:p>
    <w:p w14:paraId="48876A77">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3.向业主提供与本工程相关的咨询服务。</w:t>
      </w:r>
    </w:p>
    <w:p w14:paraId="735DA796">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 xml:space="preserve"> 监理与相关服务依据</w:t>
      </w:r>
    </w:p>
    <w:p w14:paraId="6BF4C38B">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.1 监理依据包括：</w:t>
      </w:r>
    </w:p>
    <w:p w14:paraId="0F5756A8">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开展工程项目建设监理的主要依据包括：</w:t>
      </w:r>
    </w:p>
    <w:p w14:paraId="5160DEB7">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 国家关于建设监理的有关法律、法规及行业的有关规定。</w:t>
      </w:r>
    </w:p>
    <w:p w14:paraId="72C5C312">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国家关于工程建设的有关法律、法规及行业的有关规定。</w:t>
      </w:r>
    </w:p>
    <w:p w14:paraId="16D6F8CB">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 国家及行业颁发的施工及验收规程、规范和质量验收评定标准。</w:t>
      </w:r>
    </w:p>
    <w:p w14:paraId="7D972B1C">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 审定的工程勘察文件、设计文件及经批准的设计变更。</w:t>
      </w:r>
    </w:p>
    <w:p w14:paraId="338BF77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(5) 设备厂家提供的图纸及技术说明书。</w:t>
      </w:r>
    </w:p>
    <w:p w14:paraId="37FC4500">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(6) 本工程的委托监理合同及补充合同。</w:t>
      </w:r>
    </w:p>
    <w:p w14:paraId="4A9FFC93">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(7) 委托人与勘察、设计、施工承包商、调试承包商、设备厂商等第三方签订的本工程的有关合同。</w:t>
      </w:r>
    </w:p>
    <w:p w14:paraId="265F1878">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(8) 合同履行过程中与监理服务有关的来往函件。</w:t>
      </w:r>
    </w:p>
    <w:p w14:paraId="463DAE6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(9) 以上规程、规范应按最新颁发的执行。监理人还应执行委托人安全、质量、健康、环境等体系文件的要求,执行委托人的企业标准。</w:t>
      </w:r>
    </w:p>
    <w:p w14:paraId="112CB0C6">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(10)</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lang w:eastAsia="zh-CN"/>
        </w:rPr>
        <w:t>其他</w:t>
      </w:r>
      <w:r>
        <w:rPr>
          <w:rFonts w:hint="eastAsia" w:ascii="仿宋_GB2312" w:hAnsi="仿宋_GB2312" w:eastAsia="仿宋_GB2312" w:cs="仿宋_GB2312"/>
          <w:color w:val="auto"/>
          <w:sz w:val="28"/>
          <w:szCs w:val="28"/>
          <w:u w:val="single"/>
          <w:lang w:val="en-US" w:eastAsia="zh-CN"/>
        </w:rPr>
        <w:t xml:space="preserve">  /  </w:t>
      </w:r>
      <w:r>
        <w:rPr>
          <w:rFonts w:hint="eastAsia" w:ascii="仿宋_GB2312" w:hAnsi="仿宋_GB2312" w:eastAsia="仿宋_GB2312" w:cs="仿宋_GB2312"/>
          <w:color w:val="auto"/>
          <w:sz w:val="28"/>
          <w:szCs w:val="28"/>
          <w:lang w:eastAsia="zh-CN"/>
        </w:rPr>
        <w:t>。</w:t>
      </w:r>
    </w:p>
    <w:p w14:paraId="497D40CD">
      <w:pPr>
        <w:pageBreakBefore w:val="0"/>
        <w:kinsoku/>
        <w:wordWrap/>
        <w:overflowPunct/>
        <w:topLinePunct w:val="0"/>
        <w:autoSpaceDE/>
        <w:autoSpaceDN/>
        <w:bidi w:val="0"/>
        <w:adjustRightInd w:val="0"/>
        <w:snapToGrid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u w:val="single"/>
          <w:lang w:eastAsia="zh-CN"/>
        </w:rPr>
      </w:pPr>
      <w:r>
        <w:rPr>
          <w:rFonts w:hint="eastAsia" w:ascii="仿宋_GB2312" w:hAnsi="仿宋_GB2312" w:eastAsia="仿宋_GB2312" w:cs="仿宋_GB2312"/>
          <w:color w:val="auto"/>
          <w:sz w:val="28"/>
          <w:szCs w:val="28"/>
          <w:lang w:eastAsia="zh-CN"/>
        </w:rPr>
        <w:t>相关服务依据包括：</w:t>
      </w:r>
      <w:r>
        <w:rPr>
          <w:rFonts w:hint="eastAsia" w:ascii="仿宋_GB2312" w:hAnsi="仿宋_GB2312" w:eastAsia="仿宋_GB2312" w:cs="仿宋_GB2312"/>
          <w:color w:val="auto"/>
          <w:sz w:val="28"/>
          <w:szCs w:val="28"/>
          <w:u w:val="single"/>
          <w:lang w:eastAsia="zh-CN"/>
        </w:rPr>
        <w:t>1. 适用的国家有关工程建设和监理最新有效版本的法律法规和行业法律、法规。</w:t>
      </w:r>
    </w:p>
    <w:p w14:paraId="551DA3E1">
      <w:pPr>
        <w:pageBreakBefore w:val="0"/>
        <w:kinsoku/>
        <w:wordWrap/>
        <w:overflowPunct/>
        <w:topLinePunct w:val="0"/>
        <w:autoSpaceDE/>
        <w:autoSpaceDN/>
        <w:bidi w:val="0"/>
        <w:adjustRightInd w:val="0"/>
        <w:snapToGrid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u w:val="single"/>
          <w:lang w:eastAsia="zh-CN"/>
        </w:rPr>
      </w:pPr>
      <w:r>
        <w:rPr>
          <w:rFonts w:hint="eastAsia" w:ascii="仿宋_GB2312" w:hAnsi="仿宋_GB2312" w:eastAsia="仿宋_GB2312" w:cs="仿宋_GB2312"/>
          <w:color w:val="auto"/>
          <w:sz w:val="28"/>
          <w:szCs w:val="28"/>
          <w:u w:val="single"/>
          <w:lang w:eastAsia="zh-CN"/>
        </w:rPr>
        <w:t>适用的国家和行</w:t>
      </w:r>
      <w:r>
        <w:rPr>
          <w:rFonts w:hint="eastAsia" w:ascii="仿宋_GB2312" w:hAnsi="仿宋_GB2312" w:eastAsia="仿宋_GB2312" w:cs="仿宋_GB2312"/>
          <w:color w:val="auto"/>
          <w:sz w:val="28"/>
          <w:szCs w:val="28"/>
          <w:u w:val="single"/>
          <w:lang w:eastAsia="zh-CN"/>
        </w:rPr>
        <w:t>业有关工程建设和监理最新有效版本的规范、标准、规程。</w:t>
      </w:r>
    </w:p>
    <w:p w14:paraId="250D20BA">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．具体监理工作（按照工程监理规范的内容执行，但不限于以下内容）</w:t>
      </w:r>
    </w:p>
    <w:p w14:paraId="395B47C2">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.1项目施工前期准备阶段的协助工作</w:t>
      </w:r>
    </w:p>
    <w:p w14:paraId="0E9B488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.1.1 协助项目法人落实施工现场“五通一平”条件，检查承包方开工准备工作。</w:t>
      </w:r>
    </w:p>
    <w:p w14:paraId="2F28B745">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.1.2 项目施工前期准备阶段监理工作。</w:t>
      </w:r>
    </w:p>
    <w:p w14:paraId="4CE18268">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   施工监理</w:t>
      </w:r>
    </w:p>
    <w:p w14:paraId="20AF17F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.2.1  负责施工图会审和交底，核查设计变更、变更设计，并提出监理意见。</w:t>
      </w:r>
    </w:p>
    <w:p w14:paraId="207EA053">
      <w:pPr>
        <w:pageBreakBefore w:val="0"/>
        <w:kinsoku/>
        <w:wordWrap/>
        <w:overflowPunct/>
        <w:topLinePunct w:val="0"/>
        <w:autoSpaceDE/>
        <w:autoSpaceDN/>
        <w:bidi w:val="0"/>
        <w:spacing w:line="560" w:lineRule="exact"/>
        <w:ind w:left="0" w:leftChars="0" w:right="0"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.2.2  负责分项、分部工程、单位工程及关键工序和隐蔽工程的质量检。</w:t>
      </w:r>
    </w:p>
    <w:p w14:paraId="2D3865F0">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 xml:space="preserve">  审查承包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eastAsia="zh-CN"/>
        </w:rPr>
        <w:t>提交的施工组织设计、施工技术方案、施工质量保证措施、安全文明施工措施，并提出监理意见。</w:t>
      </w:r>
    </w:p>
    <w:p w14:paraId="01B3CC71">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 xml:space="preserve">  编制一级网络计划。核查二级网络计划，并组织协调实施。</w:t>
      </w:r>
    </w:p>
    <w:p w14:paraId="545FCF15">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lang w:eastAsia="zh-CN"/>
        </w:rPr>
        <w:t xml:space="preserve">  审查承包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eastAsia="zh-CN"/>
        </w:rPr>
        <w:t>的单位工程、分部工程和单项工程开工申请报告。</w:t>
      </w:r>
    </w:p>
    <w:p w14:paraId="7775CB9D">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lang w:eastAsia="zh-CN"/>
        </w:rPr>
        <w:t xml:space="preserve">  审查承包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eastAsia="zh-CN"/>
        </w:rPr>
        <w:t>质保体系和质量保证手册并监督实施。</w:t>
      </w:r>
    </w:p>
    <w:p w14:paraId="1D2C69B6">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w:t>
      </w: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lang w:eastAsia="zh-CN"/>
        </w:rPr>
        <w:t xml:space="preserve">  检查现场施工人员中特殊工种持证上岗情况，</w:t>
      </w:r>
      <w:r>
        <w:rPr>
          <w:rFonts w:hint="eastAsia" w:ascii="仿宋_GB2312" w:hAnsi="仿宋_GB2312" w:eastAsia="仿宋_GB2312" w:cs="仿宋_GB2312"/>
          <w:color w:val="auto"/>
          <w:sz w:val="28"/>
          <w:szCs w:val="28"/>
          <w:lang w:val="en-US" w:eastAsia="zh-CN"/>
        </w:rPr>
        <w:t>并监督实施</w:t>
      </w:r>
      <w:r>
        <w:rPr>
          <w:rFonts w:hint="eastAsia" w:ascii="仿宋_GB2312" w:hAnsi="仿宋_GB2312" w:eastAsia="仿宋_GB2312" w:cs="仿宋_GB2312"/>
          <w:color w:val="auto"/>
          <w:sz w:val="28"/>
          <w:szCs w:val="28"/>
          <w:lang w:eastAsia="zh-CN"/>
        </w:rPr>
        <w:t>。</w:t>
      </w:r>
    </w:p>
    <w:p w14:paraId="35709F23">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w:t>
      </w: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lang w:eastAsia="zh-CN"/>
        </w:rPr>
        <w:t xml:space="preserve">  协助</w:t>
      </w:r>
      <w:r>
        <w:rPr>
          <w:rFonts w:hint="eastAsia" w:ascii="仿宋_GB2312" w:hAnsi="仿宋_GB2312" w:eastAsia="仿宋_GB2312" w:cs="仿宋_GB2312"/>
          <w:color w:val="auto"/>
          <w:sz w:val="28"/>
          <w:szCs w:val="28"/>
          <w:lang w:val="en-US" w:eastAsia="zh-CN"/>
        </w:rPr>
        <w:t>招标人</w:t>
      </w:r>
      <w:r>
        <w:rPr>
          <w:rFonts w:hint="eastAsia" w:ascii="仿宋_GB2312" w:hAnsi="仿宋_GB2312" w:eastAsia="仿宋_GB2312" w:cs="仿宋_GB2312"/>
          <w:color w:val="auto"/>
          <w:sz w:val="28"/>
          <w:szCs w:val="28"/>
          <w:lang w:eastAsia="zh-CN"/>
        </w:rPr>
        <w:t>制定施工现场安全文明施工管理目标并监督实施负责现场检查，遇到威胁安全的重大问题时，有权提出“暂停施工”的通知，制定处理措施并通报项目法人。</w:t>
      </w:r>
    </w:p>
    <w:p w14:paraId="70C4F88F">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w:t>
      </w:r>
      <w:r>
        <w:rPr>
          <w:rFonts w:hint="eastAsia" w:ascii="仿宋_GB2312" w:hAnsi="仿宋_GB2312" w:eastAsia="仿宋_GB2312" w:cs="仿宋_GB2312"/>
          <w:color w:val="auto"/>
          <w:sz w:val="28"/>
          <w:szCs w:val="28"/>
          <w:lang w:val="en-US" w:eastAsia="zh-CN"/>
        </w:rPr>
        <w:t>9</w:t>
      </w:r>
      <w:r>
        <w:rPr>
          <w:rFonts w:hint="eastAsia" w:ascii="仿宋_GB2312" w:hAnsi="仿宋_GB2312" w:eastAsia="仿宋_GB2312" w:cs="仿宋_GB2312"/>
          <w:color w:val="auto"/>
          <w:sz w:val="28"/>
          <w:szCs w:val="28"/>
          <w:lang w:eastAsia="zh-CN"/>
        </w:rPr>
        <w:t xml:space="preserve">  审查确认承包商的年度、季度、月度施工计划和所完成的工程量，为项目法人拨付工程进度款、审定工程结算书提供依据。</w:t>
      </w:r>
    </w:p>
    <w:p w14:paraId="0B3B1000">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.2.1</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lang w:eastAsia="zh-CN"/>
        </w:rPr>
        <w:t xml:space="preserve"> 制定并实施对重点部位的见证点（W点），停工待检点（H点），旁站点（S点）的工程管理监督计划。</w:t>
      </w:r>
    </w:p>
    <w:p w14:paraId="64F8FEE2">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.2.1</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 xml:space="preserve">  监督施工合同的履行，维护</w:t>
      </w:r>
      <w:r>
        <w:rPr>
          <w:rFonts w:hint="eastAsia" w:ascii="仿宋_GB2312" w:hAnsi="仿宋_GB2312" w:eastAsia="仿宋_GB2312" w:cs="仿宋_GB2312"/>
          <w:color w:val="auto"/>
          <w:sz w:val="28"/>
          <w:szCs w:val="28"/>
          <w:lang w:val="en-US" w:eastAsia="zh-CN"/>
        </w:rPr>
        <w:t>招标</w:t>
      </w:r>
      <w:r>
        <w:rPr>
          <w:rFonts w:hint="eastAsia" w:ascii="仿宋_GB2312" w:hAnsi="仿宋_GB2312" w:eastAsia="仿宋_GB2312" w:cs="仿宋_GB2312"/>
          <w:color w:val="auto"/>
          <w:sz w:val="28"/>
          <w:szCs w:val="28"/>
          <w:lang w:eastAsia="zh-CN"/>
        </w:rPr>
        <w:t>人和承包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eastAsia="zh-CN"/>
        </w:rPr>
        <w:t>的正当权益。</w:t>
      </w:r>
    </w:p>
    <w:p w14:paraId="29731245">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.2.1</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 xml:space="preserve">  负责施工组织设计</w:t>
      </w:r>
      <w:r>
        <w:rPr>
          <w:rFonts w:hint="eastAsia" w:ascii="仿宋_GB2312" w:hAnsi="仿宋_GB2312" w:eastAsia="仿宋_GB2312" w:cs="仿宋_GB2312"/>
          <w:color w:val="auto"/>
          <w:sz w:val="28"/>
          <w:szCs w:val="28"/>
          <w:lang w:val="en-US" w:eastAsia="zh-CN"/>
        </w:rPr>
        <w:t>审查</w:t>
      </w:r>
      <w:r>
        <w:rPr>
          <w:rFonts w:hint="eastAsia" w:ascii="仿宋_GB2312" w:hAnsi="仿宋_GB2312" w:eastAsia="仿宋_GB2312" w:cs="仿宋_GB2312"/>
          <w:color w:val="auto"/>
          <w:sz w:val="28"/>
          <w:szCs w:val="28"/>
          <w:lang w:eastAsia="zh-CN"/>
        </w:rPr>
        <w:t>。</w:t>
      </w:r>
    </w:p>
    <w:p w14:paraId="21E3AE6F">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3.2.13  为了实现本工程项目施工质量要求达到机组达标投产考核标准，根据合同所规定的工程监理项目，监理人应做好施工过程中重点工序的旁站监理工作，以保证工程质量始终处于受控状态。以全心全意为建设单位服务为宗旨，深入施工现场，及时发现问题，努力把各种质量缺陷消除在施工过程中。</w:t>
      </w:r>
    </w:p>
    <w:p w14:paraId="17D9384F">
      <w:pPr>
        <w:pageBreakBefore w:val="0"/>
        <w:kinsoku/>
        <w:wordWrap/>
        <w:overflowPunct/>
        <w:topLinePunct w:val="0"/>
        <w:autoSpaceDE/>
        <w:autoSpaceDN/>
        <w:bidi w:val="0"/>
        <w:spacing w:line="560" w:lineRule="exact"/>
        <w:ind w:left="0" w:leftChars="0" w:right="0"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3.2.14 查验重要施工机械、起吊设施经检验的有效合格证件；检查承包商实验室检验、测量与试验设备的有效合格证件。</w:t>
      </w:r>
    </w:p>
    <w:p w14:paraId="67471B66">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监理资料的整理</w:t>
      </w:r>
    </w:p>
    <w:p w14:paraId="0AD88804">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编制整理监理工作的各种文件、通知、记录、检测资料及图纸等。合同完成或终止时交给</w:t>
      </w:r>
      <w:r>
        <w:rPr>
          <w:rFonts w:hint="eastAsia" w:ascii="仿宋_GB2312" w:hAnsi="仿宋_GB2312" w:eastAsia="仿宋_GB2312" w:cs="仿宋_GB2312"/>
          <w:color w:val="auto"/>
          <w:sz w:val="28"/>
          <w:szCs w:val="28"/>
          <w:lang w:val="en-US" w:eastAsia="zh-CN"/>
        </w:rPr>
        <w:t>招标人</w:t>
      </w:r>
      <w:r>
        <w:rPr>
          <w:rFonts w:hint="eastAsia" w:ascii="仿宋_GB2312" w:hAnsi="仿宋_GB2312" w:eastAsia="仿宋_GB2312" w:cs="仿宋_GB2312"/>
          <w:color w:val="auto"/>
          <w:sz w:val="28"/>
          <w:szCs w:val="28"/>
          <w:lang w:eastAsia="zh-CN"/>
        </w:rPr>
        <w:t>。</w:t>
      </w:r>
    </w:p>
    <w:p w14:paraId="3D088962">
      <w:pPr>
        <w:pageBreakBefore w:val="0"/>
        <w:kinsoku/>
        <w:wordWrap/>
        <w:overflowPunct/>
        <w:topLinePunct w:val="0"/>
        <w:autoSpaceDE/>
        <w:autoSpaceDN/>
        <w:bidi w:val="0"/>
        <w:spacing w:line="56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监理单位应定期向</w:t>
      </w:r>
      <w:r>
        <w:rPr>
          <w:rFonts w:hint="eastAsia" w:ascii="仿宋_GB2312" w:hAnsi="仿宋_GB2312" w:eastAsia="仿宋_GB2312" w:cs="仿宋_GB2312"/>
          <w:color w:val="auto"/>
          <w:sz w:val="28"/>
          <w:szCs w:val="28"/>
          <w:lang w:val="en-US" w:eastAsia="zh-CN"/>
        </w:rPr>
        <w:t>招标人</w:t>
      </w:r>
      <w:r>
        <w:rPr>
          <w:rFonts w:hint="eastAsia" w:ascii="仿宋_GB2312" w:hAnsi="仿宋_GB2312" w:eastAsia="仿宋_GB2312" w:cs="仿宋_GB2312"/>
          <w:color w:val="auto"/>
          <w:sz w:val="28"/>
          <w:szCs w:val="28"/>
          <w:lang w:eastAsia="zh-CN"/>
        </w:rPr>
        <w:t>人书面报告监理情况，包括每周调度会前的情况通报，安全周报，监理月、季、年报。监理单位还要就工程建设的重要阶段提出监理报告。</w:t>
      </w:r>
    </w:p>
    <w:p w14:paraId="5886EE39">
      <w:pPr>
        <w:keepNext w:val="0"/>
        <w:keepLines w:val="0"/>
        <w:pageBreakBefore w:val="0"/>
        <w:kinsoku/>
        <w:wordWrap/>
        <w:overflowPunct/>
        <w:topLinePunct w:val="0"/>
        <w:bidi w:val="0"/>
        <w:spacing w:line="460" w:lineRule="exact"/>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监理工程中监理单位应提供给项目法人的报告文件目录                                    </w:t>
      </w:r>
    </w:p>
    <w:tbl>
      <w:tblPr>
        <w:tblStyle w:val="2"/>
        <w:tblW w:w="0" w:type="auto"/>
        <w:tblInd w:w="213"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746"/>
        <w:gridCol w:w="3402"/>
        <w:gridCol w:w="4161"/>
      </w:tblGrid>
      <w:tr w14:paraId="58F9047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top"/>
          </w:tcPr>
          <w:p w14:paraId="7AB9D88A">
            <w:pPr>
              <w:keepNext w:val="0"/>
              <w:keepLines w:val="0"/>
              <w:pageBreakBefore w:val="0"/>
              <w:kinsoku/>
              <w:wordWrap/>
              <w:overflowPunct/>
              <w:topLinePunct w:val="0"/>
              <w:bidi w:val="0"/>
              <w:spacing w:line="46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3402" w:type="dxa"/>
            <w:noWrap w:val="0"/>
            <w:vAlign w:val="top"/>
          </w:tcPr>
          <w:p w14:paraId="24F20F0F">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文件名称</w:t>
            </w:r>
          </w:p>
        </w:tc>
        <w:tc>
          <w:tcPr>
            <w:tcW w:w="4161" w:type="dxa"/>
            <w:noWrap w:val="0"/>
            <w:vAlign w:val="top"/>
          </w:tcPr>
          <w:p w14:paraId="7D26BEE0">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提供日期</w:t>
            </w:r>
          </w:p>
        </w:tc>
      </w:tr>
      <w:tr w14:paraId="796F979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1BC55C49">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3402" w:type="dxa"/>
            <w:noWrap w:val="0"/>
            <w:vAlign w:val="top"/>
          </w:tcPr>
          <w:p w14:paraId="28F62AD2">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监理规划</w:t>
            </w:r>
          </w:p>
        </w:tc>
        <w:tc>
          <w:tcPr>
            <w:tcW w:w="4161" w:type="dxa"/>
            <w:noWrap w:val="0"/>
            <w:vAlign w:val="top"/>
          </w:tcPr>
          <w:p w14:paraId="36C767C9">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合同签订后20日内</w:t>
            </w:r>
          </w:p>
        </w:tc>
      </w:tr>
      <w:tr w14:paraId="7BE1D80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7D61C218">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3402" w:type="dxa"/>
            <w:noWrap w:val="0"/>
            <w:vAlign w:val="top"/>
          </w:tcPr>
          <w:p w14:paraId="5FB69D62">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各专业监理实施细则</w:t>
            </w:r>
          </w:p>
        </w:tc>
        <w:tc>
          <w:tcPr>
            <w:tcW w:w="4161" w:type="dxa"/>
            <w:noWrap w:val="0"/>
            <w:vAlign w:val="top"/>
          </w:tcPr>
          <w:p w14:paraId="28E689CA">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工程开工前</w:t>
            </w:r>
          </w:p>
        </w:tc>
      </w:tr>
      <w:tr w14:paraId="4772649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4159A527">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3</w:t>
            </w:r>
          </w:p>
        </w:tc>
        <w:tc>
          <w:tcPr>
            <w:tcW w:w="3402" w:type="dxa"/>
            <w:noWrap w:val="0"/>
            <w:vAlign w:val="top"/>
          </w:tcPr>
          <w:p w14:paraId="7AD68C10">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工程简报</w:t>
            </w:r>
          </w:p>
        </w:tc>
        <w:tc>
          <w:tcPr>
            <w:tcW w:w="4161" w:type="dxa"/>
            <w:noWrap w:val="0"/>
            <w:vAlign w:val="top"/>
          </w:tcPr>
          <w:p w14:paraId="108C50C5">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不定期（着重体现里程碑进度）</w:t>
            </w:r>
          </w:p>
        </w:tc>
      </w:tr>
      <w:tr w14:paraId="3ED325E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224C6A75">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4</w:t>
            </w:r>
          </w:p>
        </w:tc>
        <w:tc>
          <w:tcPr>
            <w:tcW w:w="3402" w:type="dxa"/>
            <w:noWrap w:val="0"/>
            <w:vAlign w:val="top"/>
          </w:tcPr>
          <w:p w14:paraId="3337AA62">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各种会议纪要</w:t>
            </w:r>
          </w:p>
        </w:tc>
        <w:tc>
          <w:tcPr>
            <w:tcW w:w="4161" w:type="dxa"/>
            <w:noWrap w:val="0"/>
            <w:vAlign w:val="top"/>
          </w:tcPr>
          <w:p w14:paraId="20D2BBE8">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会后1天</w:t>
            </w:r>
          </w:p>
        </w:tc>
      </w:tr>
      <w:tr w14:paraId="37BD5B9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6B58E4E1">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5</w:t>
            </w:r>
          </w:p>
        </w:tc>
        <w:tc>
          <w:tcPr>
            <w:tcW w:w="3402" w:type="dxa"/>
            <w:noWrap w:val="0"/>
            <w:vAlign w:val="top"/>
          </w:tcPr>
          <w:p w14:paraId="7A688707">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监理迎检报告</w:t>
            </w:r>
          </w:p>
        </w:tc>
        <w:tc>
          <w:tcPr>
            <w:tcW w:w="4161" w:type="dxa"/>
            <w:noWrap w:val="0"/>
            <w:vAlign w:val="top"/>
          </w:tcPr>
          <w:p w14:paraId="1B3B6628">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监检前5天</w:t>
            </w:r>
          </w:p>
        </w:tc>
      </w:tr>
      <w:tr w14:paraId="14C7C9A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2F86BF9E">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6</w:t>
            </w:r>
          </w:p>
        </w:tc>
        <w:tc>
          <w:tcPr>
            <w:tcW w:w="3402" w:type="dxa"/>
            <w:noWrap w:val="0"/>
            <w:vAlign w:val="top"/>
          </w:tcPr>
          <w:p w14:paraId="13B838FD">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分系统质量验收报告</w:t>
            </w:r>
          </w:p>
        </w:tc>
        <w:tc>
          <w:tcPr>
            <w:tcW w:w="4161" w:type="dxa"/>
            <w:noWrap w:val="0"/>
            <w:vAlign w:val="top"/>
          </w:tcPr>
          <w:p w14:paraId="7330D629">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验收后2天</w:t>
            </w:r>
          </w:p>
        </w:tc>
      </w:tr>
      <w:tr w14:paraId="38941AE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367E1022">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7</w:t>
            </w:r>
          </w:p>
        </w:tc>
        <w:tc>
          <w:tcPr>
            <w:tcW w:w="3402" w:type="dxa"/>
            <w:noWrap w:val="0"/>
            <w:vAlign w:val="top"/>
          </w:tcPr>
          <w:p w14:paraId="712A05D3">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安全文明施工检查报告</w:t>
            </w:r>
          </w:p>
        </w:tc>
        <w:tc>
          <w:tcPr>
            <w:tcW w:w="4161" w:type="dxa"/>
            <w:noWrap w:val="0"/>
            <w:vAlign w:val="top"/>
          </w:tcPr>
          <w:p w14:paraId="3DB38E4C">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检查后2天</w:t>
            </w:r>
          </w:p>
        </w:tc>
      </w:tr>
      <w:tr w14:paraId="1202333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68142377">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8</w:t>
            </w:r>
          </w:p>
        </w:tc>
        <w:tc>
          <w:tcPr>
            <w:tcW w:w="3402" w:type="dxa"/>
            <w:noWrap w:val="0"/>
            <w:vAlign w:val="top"/>
          </w:tcPr>
          <w:p w14:paraId="6F18CE90">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监理单位用表</w:t>
            </w:r>
          </w:p>
        </w:tc>
        <w:tc>
          <w:tcPr>
            <w:tcW w:w="4161" w:type="dxa"/>
            <w:noWrap w:val="0"/>
            <w:vAlign w:val="top"/>
          </w:tcPr>
          <w:p w14:paraId="02DC6A09">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事件发生当天</w:t>
            </w:r>
          </w:p>
        </w:tc>
      </w:tr>
      <w:tr w14:paraId="461B1DD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75E37309">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9</w:t>
            </w:r>
          </w:p>
        </w:tc>
        <w:tc>
          <w:tcPr>
            <w:tcW w:w="3402" w:type="dxa"/>
            <w:noWrap w:val="0"/>
            <w:vAlign w:val="top"/>
          </w:tcPr>
          <w:p w14:paraId="5AD7227F">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监理工作阶段性总结</w:t>
            </w:r>
          </w:p>
        </w:tc>
        <w:tc>
          <w:tcPr>
            <w:tcW w:w="4161" w:type="dxa"/>
            <w:noWrap w:val="0"/>
            <w:vAlign w:val="top"/>
          </w:tcPr>
          <w:p w14:paraId="288875CD">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分阶段提供</w:t>
            </w:r>
          </w:p>
        </w:tc>
      </w:tr>
      <w:tr w14:paraId="3FFBF9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066E2AF9">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0</w:t>
            </w:r>
          </w:p>
        </w:tc>
        <w:tc>
          <w:tcPr>
            <w:tcW w:w="3402" w:type="dxa"/>
            <w:noWrap w:val="0"/>
            <w:vAlign w:val="top"/>
          </w:tcPr>
          <w:p w14:paraId="535C448D">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监理工作总结</w:t>
            </w:r>
          </w:p>
        </w:tc>
        <w:tc>
          <w:tcPr>
            <w:tcW w:w="4161" w:type="dxa"/>
            <w:noWrap w:val="0"/>
            <w:vAlign w:val="top"/>
          </w:tcPr>
          <w:p w14:paraId="29DA7E49">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工程结束</w:t>
            </w:r>
          </w:p>
        </w:tc>
      </w:tr>
      <w:tr w14:paraId="750F42F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5D539877">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1</w:t>
            </w:r>
          </w:p>
        </w:tc>
        <w:tc>
          <w:tcPr>
            <w:tcW w:w="3402" w:type="dxa"/>
            <w:noWrap w:val="0"/>
            <w:vAlign w:val="top"/>
          </w:tcPr>
          <w:p w14:paraId="0DC3ED1C">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rPr>
              <w:t>确认项目的专题报告</w:t>
            </w:r>
          </w:p>
        </w:tc>
        <w:tc>
          <w:tcPr>
            <w:tcW w:w="4161" w:type="dxa"/>
            <w:noWrap w:val="0"/>
            <w:vAlign w:val="center"/>
          </w:tcPr>
          <w:p w14:paraId="2C3E3C19">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不定期</w:t>
            </w:r>
          </w:p>
        </w:tc>
      </w:tr>
      <w:tr w14:paraId="43E3D08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5B299B10">
            <w:pPr>
              <w:keepNext w:val="0"/>
              <w:keepLines w:val="0"/>
              <w:pageBreakBefore w:val="0"/>
              <w:kinsoku/>
              <w:wordWrap/>
              <w:overflowPunct/>
              <w:topLinePunct w:val="0"/>
              <w:bidi w:val="0"/>
              <w:spacing w:line="46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2</w:t>
            </w:r>
          </w:p>
        </w:tc>
        <w:tc>
          <w:tcPr>
            <w:tcW w:w="3402" w:type="dxa"/>
            <w:noWrap w:val="0"/>
            <w:vAlign w:val="top"/>
          </w:tcPr>
          <w:p w14:paraId="4798B09D">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安全事故分析报告</w:t>
            </w:r>
          </w:p>
        </w:tc>
        <w:tc>
          <w:tcPr>
            <w:tcW w:w="4161" w:type="dxa"/>
            <w:noWrap w:val="0"/>
            <w:vAlign w:val="top"/>
          </w:tcPr>
          <w:p w14:paraId="08BBC284">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事故分析后2日内</w:t>
            </w:r>
          </w:p>
        </w:tc>
      </w:tr>
      <w:tr w14:paraId="55CC75F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46" w:type="dxa"/>
            <w:noWrap w:val="0"/>
            <w:vAlign w:val="center"/>
          </w:tcPr>
          <w:p w14:paraId="29E94083">
            <w:pPr>
              <w:keepNext w:val="0"/>
              <w:keepLines w:val="0"/>
              <w:pageBreakBefore w:val="0"/>
              <w:kinsoku/>
              <w:wordWrap/>
              <w:overflowPunct/>
              <w:topLinePunct w:val="0"/>
              <w:bidi w:val="0"/>
              <w:spacing w:line="460" w:lineRule="exact"/>
              <w:jc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13</w:t>
            </w:r>
          </w:p>
        </w:tc>
        <w:tc>
          <w:tcPr>
            <w:tcW w:w="3402" w:type="dxa"/>
            <w:noWrap w:val="0"/>
            <w:vAlign w:val="top"/>
          </w:tcPr>
          <w:p w14:paraId="2093929C">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工程质量事故调查报告</w:t>
            </w:r>
          </w:p>
        </w:tc>
        <w:tc>
          <w:tcPr>
            <w:tcW w:w="4161" w:type="dxa"/>
            <w:noWrap w:val="0"/>
            <w:vAlign w:val="top"/>
          </w:tcPr>
          <w:p w14:paraId="76956903">
            <w:pPr>
              <w:keepNext w:val="0"/>
              <w:keepLines w:val="0"/>
              <w:pageBreakBefore w:val="0"/>
              <w:kinsoku/>
              <w:wordWrap/>
              <w:overflowPunct/>
              <w:topLinePunct w:val="0"/>
              <w:bidi w:val="0"/>
              <w:spacing w:line="4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调查结论出后5日内</w:t>
            </w:r>
          </w:p>
        </w:tc>
      </w:tr>
    </w:tbl>
    <w:p w14:paraId="05E4F831">
      <w:pPr>
        <w:keepNext w:val="0"/>
        <w:keepLines w:val="0"/>
        <w:pageBreakBefore w:val="0"/>
        <w:kinsoku/>
        <w:wordWrap/>
        <w:overflowPunct/>
        <w:topLinePunct w:val="0"/>
        <w:bidi w:val="0"/>
        <w:spacing w:line="460" w:lineRule="exact"/>
        <w:ind w:firstLine="420" w:firstLineChars="175"/>
        <w:rPr>
          <w:rFonts w:hint="eastAsia" w:ascii="宋体" w:hAnsi="宋体" w:eastAsia="宋体" w:cs="宋体"/>
          <w:color w:val="auto"/>
          <w:sz w:val="24"/>
          <w:szCs w:val="24"/>
          <w:highlight w:val="none"/>
        </w:rPr>
      </w:pPr>
    </w:p>
    <w:p w14:paraId="20F8B948">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5．鉴于项目管理体制的特点，招标人负责项目所在地与项目有关的所有外部条件的协调工作。招标人应在 7 天内对监理人书面提交并要求作出决定的事宜作出书面答复。</w:t>
      </w:r>
    </w:p>
    <w:p w14:paraId="56A1FA29">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 招标人将本工程各级管理机构及人员以书面形式通知监理人，当人员发生变化时要提前通知监理人。</w:t>
      </w:r>
    </w:p>
    <w:p w14:paraId="4EB56DB7">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7．招标人向监理人提供下列设备、设施和人员：</w:t>
      </w:r>
    </w:p>
    <w:p w14:paraId="7D8175F5">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bookmarkStart w:id="3" w:name="_Toc108842934"/>
      <w:r>
        <w:rPr>
          <w:rFonts w:hint="eastAsia" w:ascii="仿宋_GB2312" w:hAnsi="仿宋_GB2312" w:eastAsia="仿宋_GB2312" w:cs="仿宋_GB2312"/>
          <w:color w:val="auto"/>
          <w:sz w:val="28"/>
          <w:szCs w:val="28"/>
          <w:lang w:val="en-US" w:eastAsia="zh-CN"/>
        </w:rPr>
        <w:t xml:space="preserve">    7.1 住房及办公用房</w:t>
      </w:r>
    </w:p>
    <w:p w14:paraId="6C558852">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不提供</w:t>
      </w:r>
    </w:p>
    <w:p w14:paraId="46C2FECA">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7.2 用餐</w:t>
      </w:r>
    </w:p>
    <w:p w14:paraId="5F56746C">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餐费自理。</w:t>
      </w:r>
    </w:p>
    <w:bookmarkEnd w:id="3"/>
    <w:p w14:paraId="2AA1B563">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7.3 通讯</w:t>
      </w:r>
    </w:p>
    <w:p w14:paraId="40669E1D">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通讯费用监理人自理。</w:t>
      </w:r>
    </w:p>
    <w:p w14:paraId="515DB2AA">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7.4 差旅费</w:t>
      </w:r>
    </w:p>
    <w:p w14:paraId="6F2B1F22">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全部监理人自理。</w:t>
      </w:r>
    </w:p>
    <w:p w14:paraId="3876A970">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7.5人员配置</w:t>
      </w:r>
    </w:p>
    <w:p w14:paraId="36BC8119">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7.5.1招标人应指派1名常驻代表负责与监理人联系。</w:t>
      </w:r>
    </w:p>
    <w:p w14:paraId="65896E67">
      <w:pPr>
        <w:pageBreakBefore w:val="0"/>
        <w:kinsoku/>
        <w:wordWrap/>
        <w:overflowPunct/>
        <w:topLinePunct w:val="0"/>
        <w:autoSpaceDE/>
        <w:autoSpaceDN/>
        <w:bidi w:val="0"/>
        <w:spacing w:line="500" w:lineRule="exact"/>
        <w:ind w:left="0" w:leftChars="0"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7.5.2监理人员要求</w:t>
      </w:r>
    </w:p>
    <w:p w14:paraId="1E00535C">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监理单位派驻本项目的监理人员在岗人数应按建设单位审定的监理计划进场，监理单位增加或减少监理人员时应报建设单位审核批准，建设单位有权要求监理单位根据工程进度增加或减少在岗监理人员。另外，监理人员的配置以满足工程建设需要为准，建设单位有权要求辞退无法胜任监理岗位的监理人员，监理单位须无条件执行。</w:t>
      </w:r>
    </w:p>
    <w:p w14:paraId="06DE2026">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所有监理人员必须持有相关专业的监理资质证书，</w:t>
      </w:r>
      <w:r>
        <w:rPr>
          <w:rFonts w:hint="eastAsia" w:ascii="仿宋_GB2312" w:hAnsi="仿宋_GB2312" w:eastAsia="仿宋_GB2312" w:cs="仿宋_GB2312"/>
          <w:color w:val="auto"/>
          <w:sz w:val="28"/>
          <w:szCs w:val="28"/>
          <w:lang w:eastAsia="zh-CN"/>
        </w:rPr>
        <w:t>应配备</w:t>
      </w:r>
      <w:r>
        <w:rPr>
          <w:rFonts w:hint="eastAsia" w:ascii="仿宋_GB2312" w:hAnsi="仿宋_GB2312" w:eastAsia="仿宋_GB2312" w:cs="仿宋_GB2312"/>
          <w:color w:val="auto"/>
          <w:sz w:val="28"/>
          <w:szCs w:val="28"/>
          <w:lang w:val="en-US" w:eastAsia="zh-CN"/>
        </w:rPr>
        <w:t>项目总监理工程师1名，总监理工程师必须为国家级注册监理工程师，并持有国家级注册监理工程师证书。</w:t>
      </w:r>
    </w:p>
    <w:p w14:paraId="20EC9C89">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应配备</w:t>
      </w:r>
      <w:r>
        <w:rPr>
          <w:rFonts w:hint="eastAsia" w:ascii="仿宋_GB2312" w:hAnsi="仿宋_GB2312" w:eastAsia="仿宋_GB2312" w:cs="仿宋_GB2312"/>
          <w:color w:val="auto"/>
          <w:sz w:val="28"/>
          <w:szCs w:val="28"/>
          <w:lang w:val="en-US" w:eastAsia="zh-CN"/>
        </w:rPr>
        <w:t>满足工程建设需要电力或机电专业监理工程师不少于</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名（根据工程进展随时增加人员），专职安全监理工程师</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名，监理员</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名，专职资料管理人员</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名。</w:t>
      </w:r>
    </w:p>
    <w:p w14:paraId="218AD36D">
      <w:pPr>
        <w:pageBreakBefore w:val="0"/>
        <w:kinsoku/>
        <w:wordWrap/>
        <w:overflowPunct/>
        <w:topLinePunct w:val="0"/>
        <w:autoSpaceDE/>
        <w:autoSpaceDN/>
        <w:bidi w:val="0"/>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总监近三年应具有同类供电项目监理经验，应具有国家注册监理工程师资质，应与监理人有正式劳动关系（提供总监理工程师的劳动合同和社保证明材料）。在本工程进行期间不得同时任职其他工程，项目执行过程中未经委托人同意不得擅自离开工地。</w:t>
      </w:r>
    </w:p>
    <w:p w14:paraId="2A9A8201">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default" w:ascii="Times New Roman" w:hAnsi="Times New Roman" w:eastAsia="宋体" w:cs="Times New Roman"/>
          <w:color w:val="auto"/>
          <w:lang w:val="en-US" w:eastAsia="zh-CN"/>
        </w:rPr>
      </w:pPr>
      <w:r>
        <w:rPr>
          <w:rFonts w:hint="eastAsia" w:ascii="仿宋_GB2312" w:hAnsi="仿宋_GB2312" w:eastAsia="仿宋_GB2312" w:cs="仿宋_GB2312"/>
          <w:color w:val="auto"/>
          <w:sz w:val="28"/>
          <w:szCs w:val="28"/>
          <w:lang w:val="en-US" w:eastAsia="zh-CN"/>
        </w:rPr>
        <w:t>拟投入本合同实施的监理人员结构合理、数量充足、经验丰富、作风正派，监理人员均具有监理工程师或监理员资格证书，具有同类工程建设监理业绩的监理人员数占总监理人员数的比例不少于50%。所有监理人员均应身体健康，且能够适应现场高强度工作，总监理工程师年龄不得超过60岁，其他监理人员的年龄不得超过55岁。公司将对以上人员的管理技术能力、服务质量进行评估，技术水平、服务质量不能满足煤矿要求者，监理单位应无条件进行更换。</w:t>
      </w:r>
    </w:p>
    <w:p w14:paraId="7D6B3AB3">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bookmarkStart w:id="4" w:name="_Toc108842936"/>
      <w:r>
        <w:rPr>
          <w:rFonts w:hint="eastAsia" w:ascii="仿宋_GB2312" w:hAnsi="仿宋_GB2312" w:eastAsia="仿宋_GB2312" w:cs="仿宋_GB2312"/>
          <w:color w:val="auto"/>
          <w:sz w:val="28"/>
          <w:szCs w:val="28"/>
          <w:lang w:val="en-US" w:eastAsia="zh-CN"/>
        </w:rPr>
        <w:t xml:space="preserve"> 7.6检测设备</w:t>
      </w:r>
      <w:bookmarkEnd w:id="4"/>
    </w:p>
    <w:p w14:paraId="4770C17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监理人应具备常规检测设备。对于工程所用的重要原材料、构配件、机械设备的规格、型号、性能、质量等发生疑问时，监理工程师有权要求责任者在征得招标人同意后送指定的检测单位复试，复试事先应征得招标人的认可并通知总承包</w:t>
      </w:r>
      <w:r>
        <w:rPr>
          <w:rFonts w:hint="eastAsia" w:ascii="仿宋_GB2312" w:hAnsi="仿宋_GB2312" w:eastAsia="仿宋_GB2312" w:cs="仿宋_GB2312"/>
          <w:color w:val="auto"/>
          <w:sz w:val="28"/>
          <w:szCs w:val="28"/>
          <w:lang w:val="en-US" w:eastAsia="zh-CN"/>
        </w:rPr>
        <w:t>人</w:t>
      </w:r>
      <w:r>
        <w:rPr>
          <w:rFonts w:hint="eastAsia" w:ascii="仿宋_GB2312" w:hAnsi="仿宋_GB2312" w:eastAsia="仿宋_GB2312" w:cs="仿宋_GB2312"/>
          <w:color w:val="auto"/>
          <w:sz w:val="28"/>
          <w:szCs w:val="28"/>
          <w:lang w:val="en-US" w:eastAsia="zh-CN"/>
        </w:rPr>
        <w:t>。若复试合格，费用由</w:t>
      </w:r>
      <w:r>
        <w:rPr>
          <w:rFonts w:hint="eastAsia" w:ascii="仿宋_GB2312" w:hAnsi="仿宋_GB2312" w:eastAsia="仿宋_GB2312" w:cs="仿宋_GB2312"/>
          <w:color w:val="auto"/>
          <w:sz w:val="28"/>
          <w:szCs w:val="28"/>
          <w:lang w:val="en-US" w:eastAsia="zh-CN"/>
        </w:rPr>
        <w:t>招标人承担</w:t>
      </w:r>
      <w:r>
        <w:rPr>
          <w:rFonts w:hint="eastAsia" w:ascii="仿宋_GB2312" w:hAnsi="仿宋_GB2312" w:eastAsia="仿宋_GB2312" w:cs="仿宋_GB2312"/>
          <w:color w:val="auto"/>
          <w:sz w:val="28"/>
          <w:szCs w:val="28"/>
          <w:lang w:val="en-US" w:eastAsia="zh-CN"/>
        </w:rPr>
        <w:t xml:space="preserve"> ，否则由</w:t>
      </w:r>
      <w:r>
        <w:rPr>
          <w:rFonts w:hint="eastAsia" w:ascii="仿宋_GB2312" w:hAnsi="仿宋_GB2312" w:eastAsia="仿宋_GB2312" w:cs="仿宋_GB2312"/>
          <w:color w:val="auto"/>
          <w:sz w:val="28"/>
          <w:szCs w:val="28"/>
          <w:lang w:val="en-US" w:eastAsia="zh-CN"/>
        </w:rPr>
        <w:t>承包人承担。</w:t>
      </w:r>
    </w:p>
    <w:p w14:paraId="0DB7723A">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合同谈判阶段确定招标人向监理人提供配合人员联系方式。</w:t>
      </w:r>
    </w:p>
    <w:p w14:paraId="2CC3529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bCs/>
          <w:color w:val="auto"/>
          <w:sz w:val="28"/>
          <w:szCs w:val="28"/>
          <w:highlight w:val="none"/>
          <w:lang w:val="en-US" w:eastAsia="zh-CN"/>
        </w:rPr>
        <w:t>9</w:t>
      </w:r>
      <w:r>
        <w:rPr>
          <w:rFonts w:hint="eastAsia" w:ascii="仿宋_GB2312" w:hAnsi="仿宋_GB2312" w:eastAsia="仿宋_GB2312" w:cs="仿宋_GB2312"/>
          <w:b w:val="0"/>
          <w:bCs/>
          <w:color w:val="auto"/>
          <w:sz w:val="28"/>
          <w:szCs w:val="28"/>
          <w:highlight w:val="none"/>
        </w:rPr>
        <w:t>．</w:t>
      </w:r>
      <w:r>
        <w:rPr>
          <w:rFonts w:hint="eastAsia" w:ascii="仿宋_GB2312" w:hAnsi="仿宋_GB2312" w:eastAsia="仿宋_GB2312" w:cs="仿宋_GB2312"/>
          <w:color w:val="auto"/>
          <w:sz w:val="28"/>
          <w:szCs w:val="28"/>
          <w:highlight w:val="none"/>
        </w:rPr>
        <w:t>责任的期限为：自合同签订之日起至工程缺陷责任期结束为止。</w:t>
      </w:r>
    </w:p>
    <w:p w14:paraId="0B64D1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Times New Roman" w:hAnsi="Times New Roman" w:eastAsia="仿宋_GB2312" w:cs="Times New Roman"/>
          <w:color w:val="auto"/>
          <w:kern w:val="2"/>
          <w:sz w:val="21"/>
          <w:szCs w:val="24"/>
          <w:lang w:val="en-US" w:eastAsia="zh-CN" w:bidi="ar-SA"/>
        </w:rPr>
      </w:pPr>
      <w:r>
        <w:rPr>
          <w:rFonts w:hint="eastAsia" w:ascii="仿宋_GB2312" w:hAnsi="仿宋_GB2312" w:eastAsia="仿宋_GB2312" w:cs="仿宋_GB2312"/>
          <w:color w:val="auto"/>
          <w:kern w:val="2"/>
          <w:sz w:val="28"/>
          <w:szCs w:val="28"/>
          <w:highlight w:val="none"/>
          <w:lang w:val="en-US" w:eastAsia="zh-CN" w:bidi="ar-SA"/>
        </w:rPr>
        <w:t>如项目工程在保修期间出现质量问题，监理人负责提供所需的资料，协调质量责任方解决质量问题，并对修复处理后的工程进行复检。</w:t>
      </w:r>
    </w:p>
    <w:p w14:paraId="359AACAA">
      <w:pPr>
        <w:keepNext w:val="0"/>
        <w:keepLines w:val="0"/>
        <w:pageBreakBefore w:val="0"/>
        <w:widowControl w:val="0"/>
        <w:kinsoku/>
        <w:wordWrap/>
        <w:overflowPunct/>
        <w:topLinePunct w:val="0"/>
        <w:autoSpaceDE/>
        <w:autoSpaceDN/>
        <w:bidi w:val="0"/>
        <w:adjustRightInd/>
        <w:snapToGrid/>
        <w:spacing w:line="500" w:lineRule="exact"/>
        <w:ind w:left="0" w:leftChars="0" w:right="0" w:firstLine="560" w:firstLineChars="20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10.</w:t>
      </w:r>
      <w:r>
        <w:rPr>
          <w:rFonts w:hint="eastAsia" w:ascii="仿宋_GB2312" w:hAnsi="仿宋_GB2312" w:eastAsia="仿宋_GB2312" w:cs="仿宋_GB2312"/>
          <w:color w:val="auto"/>
          <w:sz w:val="28"/>
          <w:szCs w:val="28"/>
          <w:lang w:eastAsia="zh-CN"/>
        </w:rPr>
        <w:t>项目监理机构和人员</w:t>
      </w:r>
    </w:p>
    <w:p w14:paraId="250D574E">
      <w:pPr>
        <w:pageBreakBefore w:val="0"/>
        <w:kinsoku/>
        <w:wordWrap/>
        <w:overflowPunct/>
        <w:topLinePunct w:val="0"/>
        <w:autoSpaceDE/>
        <w:autoSpaceDN/>
        <w:bidi w:val="0"/>
        <w:spacing w:line="500" w:lineRule="exact"/>
        <w:ind w:left="0" w:leftChars="0" w:right="0" w:firstLine="560" w:firstLineChars="200"/>
        <w:jc w:val="left"/>
        <w:textAlignment w:val="auto"/>
        <w:rPr>
          <w:rFonts w:hint="eastAsia" w:ascii="仿宋_GB2312" w:hAnsi="仿宋_GB2312" w:eastAsia="仿宋_GB2312" w:cs="仿宋_GB2312"/>
          <w:color w:val="auto"/>
          <w:sz w:val="28"/>
          <w:szCs w:val="28"/>
          <w:u w:val="single"/>
          <w:lang w:eastAsia="zh-CN"/>
        </w:rPr>
      </w:pPr>
      <w:r>
        <w:rPr>
          <w:rFonts w:hint="eastAsia" w:ascii="仿宋_GB2312" w:hAnsi="仿宋_GB2312" w:eastAsia="仿宋_GB2312" w:cs="仿宋_GB2312"/>
          <w:color w:val="auto"/>
          <w:sz w:val="28"/>
          <w:szCs w:val="28"/>
          <w:lang w:val="en-US" w:eastAsia="zh-CN"/>
        </w:rPr>
        <w:t>10.1</w:t>
      </w:r>
      <w:r>
        <w:rPr>
          <w:rFonts w:hint="eastAsia" w:ascii="仿宋_GB2312" w:hAnsi="仿宋_GB2312" w:eastAsia="仿宋_GB2312" w:cs="仿宋_GB2312"/>
          <w:color w:val="auto"/>
          <w:sz w:val="28"/>
          <w:szCs w:val="28"/>
          <w:lang w:eastAsia="zh-CN"/>
        </w:rPr>
        <w:t>更换监理人员的其他情形：</w:t>
      </w:r>
      <w:r>
        <w:rPr>
          <w:rFonts w:hint="eastAsia" w:ascii="仿宋_GB2312" w:hAnsi="仿宋_GB2312" w:eastAsia="仿宋_GB2312" w:cs="仿宋_GB2312"/>
          <w:color w:val="auto"/>
          <w:sz w:val="28"/>
          <w:szCs w:val="28"/>
          <w:u w:val="single"/>
          <w:lang w:eastAsia="zh-CN"/>
        </w:rPr>
        <w:t>征得委托人</w:t>
      </w:r>
      <w:r>
        <w:rPr>
          <w:rFonts w:hint="eastAsia" w:ascii="仿宋_GB2312" w:hAnsi="仿宋_GB2312" w:eastAsia="仿宋_GB2312" w:cs="仿宋_GB2312"/>
          <w:color w:val="auto"/>
          <w:sz w:val="28"/>
          <w:szCs w:val="28"/>
          <w:u w:val="single"/>
          <w:lang w:val="en-US" w:eastAsia="zh-CN"/>
        </w:rPr>
        <w:t>书面</w:t>
      </w:r>
      <w:r>
        <w:rPr>
          <w:rFonts w:hint="eastAsia" w:ascii="仿宋_GB2312" w:hAnsi="仿宋_GB2312" w:eastAsia="仿宋_GB2312" w:cs="仿宋_GB2312"/>
          <w:color w:val="auto"/>
          <w:sz w:val="28"/>
          <w:szCs w:val="28"/>
          <w:u w:val="single"/>
          <w:lang w:eastAsia="zh-CN"/>
        </w:rPr>
        <w:t>同意。</w:t>
      </w:r>
    </w:p>
    <w:p w14:paraId="75BB359C">
      <w:pPr>
        <w:pageBreakBefore w:val="0"/>
        <w:kinsoku/>
        <w:wordWrap/>
        <w:overflowPunct/>
        <w:topLinePunct w:val="0"/>
        <w:autoSpaceDE/>
        <w:autoSpaceDN/>
        <w:bidi w:val="0"/>
        <w:spacing w:line="500" w:lineRule="exact"/>
        <w:ind w:left="0" w:leftChars="0" w:right="0"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监理人有权要求承包人调换其人员的限制条件：</w:t>
      </w:r>
      <w:r>
        <w:rPr>
          <w:rFonts w:hint="eastAsia" w:ascii="仿宋_GB2312" w:hAnsi="仿宋_GB2312" w:eastAsia="仿宋_GB2312" w:cs="仿宋_GB2312"/>
          <w:color w:val="auto"/>
          <w:sz w:val="28"/>
          <w:szCs w:val="28"/>
          <w:u w:val="single"/>
          <w:lang w:eastAsia="zh-CN"/>
        </w:rPr>
        <w:t>征得委托人</w:t>
      </w:r>
      <w:r>
        <w:rPr>
          <w:rFonts w:hint="eastAsia" w:ascii="仿宋_GB2312" w:hAnsi="仿宋_GB2312" w:eastAsia="仿宋_GB2312" w:cs="仿宋_GB2312"/>
          <w:color w:val="auto"/>
          <w:sz w:val="28"/>
          <w:szCs w:val="28"/>
          <w:u w:val="single"/>
          <w:lang w:val="en-US" w:eastAsia="zh-CN"/>
        </w:rPr>
        <w:t>书面</w:t>
      </w:r>
      <w:r>
        <w:rPr>
          <w:rFonts w:hint="eastAsia" w:ascii="仿宋_GB2312" w:hAnsi="仿宋_GB2312" w:eastAsia="仿宋_GB2312" w:cs="仿宋_GB2312"/>
          <w:color w:val="auto"/>
          <w:sz w:val="28"/>
          <w:szCs w:val="28"/>
          <w:u w:val="single"/>
          <w:lang w:eastAsia="zh-CN"/>
        </w:rPr>
        <w:t>同意。</w:t>
      </w:r>
    </w:p>
    <w:p w14:paraId="1F71A6DC">
      <w:pPr>
        <w:keepNext w:val="0"/>
        <w:keepLines w:val="0"/>
        <w:pageBreakBefore w:val="0"/>
        <w:kinsoku/>
        <w:wordWrap/>
        <w:overflowPunct/>
        <w:topLinePunct w:val="0"/>
        <w:autoSpaceDE/>
        <w:autoSpaceDN/>
        <w:bidi w:val="0"/>
        <w:spacing w:line="500" w:lineRule="exact"/>
        <w:ind w:firstLine="562"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 xml:space="preserve">9. </w:t>
      </w:r>
      <w:r>
        <w:rPr>
          <w:rFonts w:hint="eastAsia" w:ascii="仿宋_GB2312" w:hAnsi="仿宋_GB2312" w:eastAsia="仿宋_GB2312" w:cs="仿宋_GB2312"/>
          <w:color w:val="auto"/>
          <w:sz w:val="28"/>
          <w:szCs w:val="28"/>
          <w:highlight w:val="none"/>
        </w:rPr>
        <w:t>合同价款</w:t>
      </w:r>
    </w:p>
    <w:p w14:paraId="4BA278D4">
      <w:pPr>
        <w:keepNext w:val="0"/>
        <w:keepLines w:val="0"/>
        <w:pageBreakBefore w:val="0"/>
        <w:widowControl w:val="0"/>
        <w:kinsoku/>
        <w:wordWrap/>
        <w:overflowPunct/>
        <w:topLinePunct w:val="0"/>
        <w:autoSpaceDE/>
        <w:autoSpaceDN/>
        <w:bidi w:val="0"/>
        <w:spacing w:line="500" w:lineRule="exact"/>
        <w:ind w:left="0" w:right="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 xml:space="preserve">9.1 </w:t>
      </w:r>
      <w:r>
        <w:rPr>
          <w:rFonts w:hint="eastAsia" w:ascii="仿宋_GB2312" w:hAnsi="仿宋_GB2312" w:eastAsia="仿宋_GB2312" w:cs="仿宋_GB2312"/>
          <w:color w:val="auto"/>
          <w:sz w:val="28"/>
          <w:szCs w:val="28"/>
          <w:highlight w:val="none"/>
          <w:lang w:eastAsia="zh-CN"/>
        </w:rPr>
        <w:t>本合同为固定费率合同，施工监理服务费率：</w:t>
      </w:r>
      <w:r>
        <w:rPr>
          <w:rFonts w:hint="eastAsia" w:ascii="仿宋_GB2312" w:hAnsi="仿宋_GB2312" w:eastAsia="仿宋_GB2312" w:cs="仿宋_GB2312"/>
          <w:color w:val="auto"/>
          <w:sz w:val="28"/>
          <w:szCs w:val="28"/>
          <w:highlight w:val="none"/>
          <w:u w:val="single"/>
          <w:lang w:eastAsia="zh-CN"/>
        </w:rPr>
        <w:t>　</w:t>
      </w:r>
      <w:r>
        <w:rPr>
          <w:rFonts w:hint="eastAsia" w:ascii="仿宋_GB2312" w:hAnsi="仿宋_GB2312" w:eastAsia="仿宋_GB2312" w:cs="仿宋_GB2312"/>
          <w:color w:val="auto"/>
          <w:sz w:val="28"/>
          <w:szCs w:val="28"/>
          <w:highlight w:val="none"/>
          <w:lang w:eastAsia="zh-CN"/>
        </w:rPr>
        <w:t>%;　监理服务费率在合同履行期间不予调整。合同总价为暂定价格：即合同含税总金额为人民币（大写）</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u w:val="none"/>
          <w:lang w:eastAsia="zh-CN"/>
        </w:rPr>
        <w:t>　</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lang w:eastAsia="zh-CN"/>
        </w:rPr>
        <w:t>元 ），增值税税率：</w:t>
      </w:r>
      <w:r>
        <w:rPr>
          <w:rFonts w:hint="eastAsia" w:ascii="仿宋_GB2312" w:hAnsi="仿宋_GB2312" w:eastAsia="仿宋_GB2312" w:cs="仿宋_GB2312"/>
          <w:color w:val="auto"/>
          <w:sz w:val="28"/>
          <w:szCs w:val="28"/>
          <w:highlight w:val="none"/>
          <w:u w:val="single"/>
          <w:lang w:eastAsia="zh-CN"/>
        </w:rPr>
        <w:t xml:space="preserve"> 6 </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kern w:val="2"/>
          <w:sz w:val="28"/>
          <w:szCs w:val="28"/>
          <w:highlight w:val="none"/>
          <w:lang w:eastAsia="zh-CN"/>
        </w:rPr>
        <w:t>其中，不含增值税金额为人民币(大写）:　</w:t>
      </w:r>
      <w:r>
        <w:rPr>
          <w:rFonts w:hint="eastAsia" w:ascii="仿宋_GB2312" w:hAnsi="仿宋_GB2312" w:eastAsia="仿宋_GB2312" w:cs="仿宋_GB2312"/>
          <w:color w:val="auto"/>
          <w:kern w:val="2"/>
          <w:sz w:val="28"/>
          <w:szCs w:val="28"/>
          <w:highlight w:val="none"/>
          <w:u w:val="single"/>
          <w:lang w:eastAsia="zh-CN"/>
        </w:rPr>
        <w:t>　　　　　</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color w:val="auto"/>
          <w:sz w:val="28"/>
          <w:szCs w:val="28"/>
          <w:highlight w:val="none"/>
          <w:lang w:eastAsia="zh-CN"/>
        </w:rPr>
        <w:t xml:space="preserve">¥ </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color w:val="auto"/>
          <w:kern w:val="2"/>
          <w:sz w:val="28"/>
          <w:szCs w:val="28"/>
          <w:highlight w:val="none"/>
          <w:u w:val="single"/>
          <w:lang w:eastAsia="zh-CN"/>
        </w:rPr>
        <w:t>　　　</w:t>
      </w:r>
      <w:r>
        <w:rPr>
          <w:rFonts w:hint="eastAsia" w:ascii="仿宋_GB2312" w:hAnsi="仿宋_GB2312" w:eastAsia="仿宋_GB2312" w:cs="仿宋_GB2312"/>
          <w:color w:val="auto"/>
          <w:kern w:val="2"/>
          <w:sz w:val="28"/>
          <w:szCs w:val="28"/>
          <w:highlight w:val="none"/>
          <w:lang w:eastAsia="zh-CN"/>
        </w:rPr>
        <w:t>元），</w:t>
      </w:r>
      <w:r>
        <w:rPr>
          <w:rFonts w:hint="eastAsia" w:ascii="仿宋_GB2312" w:hAnsi="仿宋_GB2312" w:eastAsia="仿宋_GB2312" w:cs="仿宋_GB2312"/>
          <w:color w:val="auto"/>
          <w:sz w:val="28"/>
          <w:szCs w:val="28"/>
          <w:highlight w:val="none"/>
          <w:lang w:eastAsia="zh-CN"/>
        </w:rPr>
        <w:t>增值税税额为人民币（大写)</w:t>
      </w:r>
      <w:r>
        <w:rPr>
          <w:rFonts w:hint="eastAsia" w:ascii="仿宋_GB2312" w:hAnsi="仿宋_GB2312" w:eastAsia="仿宋_GB2312" w:cs="仿宋_GB2312"/>
          <w:color w:val="auto"/>
          <w:sz w:val="28"/>
          <w:szCs w:val="28"/>
          <w:highlight w:val="none"/>
          <w:u w:val="single"/>
          <w:lang w:eastAsia="zh-CN"/>
        </w:rPr>
        <w:t xml:space="preserve"> 　　</w:t>
      </w:r>
      <w:r>
        <w:rPr>
          <w:rFonts w:hint="eastAsia" w:ascii="仿宋_GB2312" w:hAnsi="仿宋_GB2312" w:eastAsia="仿宋_GB2312" w:cs="仿宋_GB2312"/>
          <w:color w:val="auto"/>
          <w:sz w:val="28"/>
          <w:szCs w:val="28"/>
          <w:highlight w:val="none"/>
          <w:lang w:eastAsia="zh-CN"/>
        </w:rPr>
        <w:t>（¥ ：</w:t>
      </w:r>
      <w:r>
        <w:rPr>
          <w:rFonts w:hint="eastAsia" w:ascii="仿宋_GB2312" w:hAnsi="仿宋_GB2312" w:eastAsia="仿宋_GB2312" w:cs="仿宋_GB2312"/>
          <w:color w:val="auto"/>
          <w:sz w:val="28"/>
          <w:szCs w:val="28"/>
          <w:highlight w:val="none"/>
          <w:u w:val="single"/>
          <w:lang w:eastAsia="zh-CN"/>
        </w:rPr>
        <w:t>　　</w:t>
      </w:r>
      <w:r>
        <w:rPr>
          <w:rFonts w:hint="eastAsia" w:ascii="仿宋_GB2312" w:hAnsi="仿宋_GB2312" w:eastAsia="仿宋_GB2312" w:cs="仿宋_GB2312"/>
          <w:color w:val="auto"/>
          <w:sz w:val="28"/>
          <w:szCs w:val="28"/>
          <w:highlight w:val="none"/>
          <w:lang w:eastAsia="zh-CN"/>
        </w:rPr>
        <w:t>元）。</w:t>
      </w:r>
    </w:p>
    <w:p w14:paraId="6CB8D69D">
      <w:pPr>
        <w:keepNext w:val="0"/>
        <w:keepLines w:val="0"/>
        <w:pageBreakBefore w:val="0"/>
        <w:widowControl w:val="0"/>
        <w:kinsoku/>
        <w:wordWrap/>
        <w:overflowPunct/>
        <w:topLinePunct w:val="0"/>
        <w:autoSpaceDE/>
        <w:autoSpaceDN/>
        <w:bidi w:val="0"/>
        <w:spacing w:line="500" w:lineRule="exact"/>
        <w:ind w:left="0" w:right="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税率按照适用税率6%确定，双方根据本合同相关条款进行开票结算时，如果在合同执行过程中国家出台新的税务政策，须按照新的政策中规定的适用税率重新调整合同价格，不含税合同总价不做调整。</w:t>
      </w:r>
    </w:p>
    <w:p w14:paraId="72413D4D">
      <w:pPr>
        <w:keepNext w:val="0"/>
        <w:keepLines w:val="0"/>
        <w:pageBreakBefore w:val="0"/>
        <w:widowControl w:val="0"/>
        <w:kinsoku/>
        <w:wordWrap/>
        <w:overflowPunct/>
        <w:topLinePunct w:val="0"/>
        <w:autoSpaceDE/>
        <w:autoSpaceDN/>
        <w:bidi w:val="0"/>
        <w:adjustRightInd w:val="0"/>
        <w:snapToGrid w:val="0"/>
        <w:spacing w:line="50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包括：</w:t>
      </w:r>
    </w:p>
    <w:p w14:paraId="7A86E697">
      <w:pPr>
        <w:keepNext w:val="0"/>
        <w:keepLines w:val="0"/>
        <w:pageBreakBefore w:val="0"/>
        <w:widowControl w:val="0"/>
        <w:kinsoku/>
        <w:wordWrap/>
        <w:overflowPunct/>
        <w:topLinePunct w:val="0"/>
        <w:autoSpaceDE/>
        <w:autoSpaceDN/>
        <w:bidi w:val="0"/>
        <w:adjustRightInd w:val="0"/>
        <w:snapToGrid w:val="0"/>
        <w:spacing w:line="50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监理酬金：</w:t>
      </w:r>
      <w:r>
        <w:rPr>
          <w:rFonts w:hint="eastAsia" w:ascii="仿宋_GB2312" w:hAnsi="仿宋_GB2312" w:eastAsia="仿宋_GB2312" w:cs="仿宋_GB2312"/>
          <w:color w:val="auto"/>
          <w:sz w:val="28"/>
          <w:szCs w:val="28"/>
          <w:highlight w:val="none"/>
          <w:u w:val="single"/>
          <w:lang w:eastAsia="zh-CN"/>
        </w:rPr>
        <w:t xml:space="preserve">   按监理费率计取，　施工监理服务费率：　%</w:t>
      </w:r>
      <w:r>
        <w:rPr>
          <w:rFonts w:hint="eastAsia" w:ascii="仿宋_GB2312" w:hAnsi="仿宋_GB2312" w:eastAsia="仿宋_GB2312" w:cs="仿宋_GB2312"/>
          <w:color w:val="auto"/>
          <w:sz w:val="28"/>
          <w:szCs w:val="28"/>
          <w:highlight w:val="none"/>
          <w:lang w:eastAsia="zh-CN"/>
        </w:rPr>
        <w:t>。</w:t>
      </w:r>
    </w:p>
    <w:p w14:paraId="0081B4C1">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相关服务酬金：</w:t>
      </w:r>
      <w:r>
        <w:rPr>
          <w:rFonts w:hint="eastAsia" w:ascii="仿宋_GB2312" w:hAnsi="仿宋_GB2312" w:eastAsia="仿宋_GB2312" w:cs="仿宋_GB2312"/>
          <w:color w:val="auto"/>
          <w:sz w:val="28"/>
          <w:szCs w:val="28"/>
          <w:highlight w:val="none"/>
          <w:u w:val="single"/>
          <w:lang w:eastAsia="zh-CN"/>
        </w:rPr>
        <w:t xml:space="preserve">        /                    </w:t>
      </w:r>
      <w:r>
        <w:rPr>
          <w:rFonts w:hint="eastAsia" w:ascii="仿宋_GB2312" w:hAnsi="仿宋_GB2312" w:eastAsia="仿宋_GB2312" w:cs="仿宋_GB2312"/>
          <w:color w:val="auto"/>
          <w:sz w:val="28"/>
          <w:szCs w:val="28"/>
          <w:highlight w:val="none"/>
          <w:lang w:eastAsia="zh-CN"/>
        </w:rPr>
        <w:t>。</w:t>
      </w:r>
    </w:p>
    <w:p w14:paraId="39B450C1">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9.1.</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监理人员的工资、福利费、工会经费、教育经费、养老保险、住房公积金、办公费、差旅费、通讯费、交通费、加班费、医疗费、现场补贴、公司管理费、现场必备的检测设备和交通工具合理的购置及使用费用和现场的住宿费、电话费等均含在此合同价内。</w:t>
      </w:r>
    </w:p>
    <w:p w14:paraId="7494F72C">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9.2 每次付款时，招标人收到监理人开据的符合财务要求的正式发票后付款。</w:t>
      </w:r>
    </w:p>
    <w:p w14:paraId="19EAD1B5">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9.3 监理人在责任期内如果失职，同意按以下办法承担责任：</w:t>
      </w:r>
    </w:p>
    <w:p w14:paraId="4DFF0CE3">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赔偿金＝直接经济损失×</w:t>
      </w:r>
      <w:r>
        <w:rPr>
          <w:rFonts w:hint="eastAsia" w:ascii="仿宋_GB2312" w:hAnsi="仿宋_GB2312" w:eastAsia="仿宋_GB2312" w:cs="仿宋_GB2312"/>
          <w:color w:val="auto"/>
          <w:sz w:val="28"/>
          <w:szCs w:val="28"/>
          <w:highlight w:val="none"/>
          <w:lang w:val="en-US" w:eastAsia="zh-CN"/>
        </w:rPr>
        <w:t>监理费</w:t>
      </w:r>
      <w:r>
        <w:rPr>
          <w:rFonts w:hint="eastAsia" w:ascii="仿宋_GB2312" w:hAnsi="仿宋_GB2312" w:eastAsia="仿宋_GB2312" w:cs="仿宋_GB2312"/>
          <w:color w:val="auto"/>
          <w:sz w:val="28"/>
          <w:szCs w:val="28"/>
          <w:highlight w:val="none"/>
        </w:rPr>
        <w:t>率（扣除税金）。</w:t>
      </w:r>
    </w:p>
    <w:p w14:paraId="3588BC8E">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9.4 预付款：</w:t>
      </w:r>
      <w:r>
        <w:rPr>
          <w:rFonts w:hint="eastAsia" w:ascii="仿宋_GB2312" w:hAnsi="仿宋_GB2312" w:eastAsia="仿宋_GB2312" w:cs="仿宋_GB2312"/>
          <w:color w:val="auto"/>
          <w:sz w:val="28"/>
          <w:szCs w:val="28"/>
          <w:highlight w:val="none"/>
          <w:lang w:val="en-US" w:eastAsia="zh-CN"/>
        </w:rPr>
        <w:t>无。</w:t>
      </w:r>
    </w:p>
    <w:p w14:paraId="2EC33AA1">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color w:val="auto"/>
          <w:sz w:val="28"/>
          <w:szCs w:val="28"/>
          <w:highlight w:val="none"/>
        </w:rPr>
        <w:t>9.</w:t>
      </w:r>
      <w:r>
        <w:rPr>
          <w:rFonts w:hint="eastAsia" w:ascii="仿宋_GB2312" w:hAnsi="仿宋_GB2312" w:eastAsia="仿宋_GB2312" w:cs="仿宋_GB2312"/>
          <w:bCs/>
          <w:color w:val="auto"/>
          <w:sz w:val="28"/>
          <w:szCs w:val="28"/>
          <w:highlight w:val="none"/>
        </w:rPr>
        <w:t xml:space="preserve">5 </w:t>
      </w:r>
      <w:r>
        <w:rPr>
          <w:rFonts w:hint="eastAsia" w:ascii="仿宋_GB2312" w:hAnsi="仿宋_GB2312" w:eastAsia="仿宋_GB2312" w:cs="仿宋_GB2312"/>
          <w:bCs/>
          <w:color w:val="auto"/>
          <w:sz w:val="28"/>
          <w:szCs w:val="28"/>
          <w:highlight w:val="none"/>
          <w:lang w:val="en-US" w:eastAsia="zh-CN"/>
        </w:rPr>
        <w:t>监理酬金</w:t>
      </w:r>
      <w:r>
        <w:rPr>
          <w:rFonts w:hint="eastAsia" w:ascii="仿宋_GB2312" w:hAnsi="仿宋_GB2312" w:eastAsia="仿宋_GB2312" w:cs="仿宋_GB2312"/>
          <w:bCs/>
          <w:color w:val="auto"/>
          <w:sz w:val="28"/>
          <w:szCs w:val="28"/>
          <w:highlight w:val="none"/>
        </w:rPr>
        <w:t>支付</w:t>
      </w:r>
    </w:p>
    <w:p w14:paraId="12B97036">
      <w:pPr>
        <w:keepNext w:val="0"/>
        <w:keepLines w:val="0"/>
        <w:pageBreakBefore w:val="0"/>
        <w:kinsoku/>
        <w:wordWrap/>
        <w:overflowPunct/>
        <w:topLinePunct w:val="0"/>
        <w:autoSpaceDE/>
        <w:autoSpaceDN/>
        <w:bidi w:val="0"/>
        <w:spacing w:line="50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9.5.1监理酬金按支付条件进行支付，其中10%按</w:t>
      </w:r>
      <w:r>
        <w:rPr>
          <w:rFonts w:hint="eastAsia" w:ascii="仿宋_GB2312" w:hAnsi="仿宋_GB2312" w:eastAsia="仿宋_GB2312" w:cs="仿宋_GB2312"/>
          <w:color w:val="auto"/>
          <w:sz w:val="28"/>
          <w:szCs w:val="28"/>
          <w:highlight w:val="none"/>
          <w:u w:val="single"/>
          <w:lang w:val="en-US" w:eastAsia="zh-CN"/>
        </w:rPr>
        <w:t>附件1：工程监理考核约定</w:t>
      </w:r>
      <w:r>
        <w:rPr>
          <w:rFonts w:hint="eastAsia" w:ascii="仿宋_GB2312" w:hAnsi="仿宋_GB2312" w:eastAsia="仿宋_GB2312" w:cs="仿宋_GB2312"/>
          <w:color w:val="auto"/>
          <w:sz w:val="28"/>
          <w:szCs w:val="28"/>
          <w:highlight w:val="none"/>
          <w:lang w:val="en-US" w:eastAsia="zh-CN"/>
        </w:rPr>
        <w:t>规定予以考核兑现。</w:t>
      </w:r>
    </w:p>
    <w:p w14:paraId="6DCECFE6">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9.5.2支付条件</w:t>
      </w:r>
    </w:p>
    <w:p w14:paraId="11114E8B">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监理费用每季度按照本季度工程形象进度款的总额×固定监理费率，据实结算；监理人按照结算金额开具增值税专用发票，</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人在结算完成后向监理人支付结算金额的</w:t>
      </w:r>
      <w:r>
        <w:rPr>
          <w:rFonts w:hint="eastAsia" w:ascii="仿宋_GB2312" w:hAnsi="仿宋_GB2312" w:eastAsia="仿宋_GB2312" w:cs="仿宋_GB2312"/>
          <w:color w:val="auto"/>
          <w:sz w:val="28"/>
          <w:szCs w:val="28"/>
          <w:highlight w:val="none"/>
          <w:lang w:val="en-US" w:eastAsia="zh-CN"/>
        </w:rPr>
        <w:t>85</w:t>
      </w:r>
      <w:r>
        <w:rPr>
          <w:rFonts w:hint="eastAsia" w:ascii="仿宋_GB2312" w:hAnsi="仿宋_GB2312" w:eastAsia="仿宋_GB2312" w:cs="仿宋_GB2312"/>
          <w:color w:val="auto"/>
          <w:sz w:val="28"/>
          <w:szCs w:val="28"/>
          <w:highlight w:val="none"/>
          <w:lang w:eastAsia="zh-CN"/>
        </w:rPr>
        <w:t>%；累计支付至结算价款的97%，剩余3%作为质保金，待工程施工缺陷责任期（24个月）届满后验收无异议支付质保金（</w:t>
      </w:r>
      <w:r>
        <w:rPr>
          <w:rFonts w:hint="eastAsia" w:ascii="仿宋_GB2312" w:hAnsi="仿宋_GB2312" w:eastAsia="仿宋_GB2312" w:cs="仿宋_GB2312"/>
          <w:color w:val="auto"/>
          <w:sz w:val="28"/>
          <w:szCs w:val="28"/>
          <w:highlight w:val="none"/>
          <w:lang w:val="en-US" w:eastAsia="zh-CN"/>
        </w:rPr>
        <w:t>无息</w:t>
      </w:r>
      <w:r>
        <w:rPr>
          <w:rFonts w:hint="eastAsia" w:ascii="仿宋_GB2312" w:hAnsi="仿宋_GB2312" w:eastAsia="仿宋_GB2312" w:cs="仿宋_GB2312"/>
          <w:color w:val="auto"/>
          <w:sz w:val="28"/>
          <w:szCs w:val="28"/>
          <w:highlight w:val="none"/>
          <w:lang w:eastAsia="zh-CN"/>
        </w:rPr>
        <w:t>）。</w:t>
      </w:r>
    </w:p>
    <w:p w14:paraId="768D58B8">
      <w:pPr>
        <w:keepNext w:val="0"/>
        <w:keepLines w:val="0"/>
        <w:pageBreakBefore w:val="0"/>
        <w:kinsoku/>
        <w:wordWrap/>
        <w:overflowPunct/>
        <w:topLinePunct w:val="0"/>
        <w:autoSpaceDE/>
        <w:autoSpaceDN/>
        <w:bidi w:val="0"/>
        <w:spacing w:line="50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9.5.3质保金支付</w:t>
      </w:r>
    </w:p>
    <w:p w14:paraId="053EAB30">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待工程缺陷责任期</w:t>
      </w:r>
      <w:r>
        <w:rPr>
          <w:rFonts w:hint="eastAsia" w:ascii="仿宋_GB2312" w:hAnsi="仿宋_GB2312" w:eastAsia="仿宋_GB2312" w:cs="仿宋_GB2312"/>
          <w:color w:val="auto"/>
          <w:sz w:val="28"/>
          <w:szCs w:val="28"/>
          <w:highlight w:val="none"/>
          <w:lang w:val="en-US" w:eastAsia="zh-CN"/>
        </w:rPr>
        <w:t>24个月</w:t>
      </w:r>
      <w:r>
        <w:rPr>
          <w:rFonts w:hint="eastAsia" w:ascii="仿宋_GB2312" w:hAnsi="仿宋_GB2312" w:eastAsia="仿宋_GB2312" w:cs="仿宋_GB2312"/>
          <w:color w:val="auto"/>
          <w:sz w:val="28"/>
          <w:szCs w:val="28"/>
          <w:highlight w:val="none"/>
          <w:lang w:eastAsia="zh-CN"/>
        </w:rPr>
        <w:t>届满后验收无异议</w:t>
      </w:r>
      <w:r>
        <w:rPr>
          <w:rFonts w:hint="eastAsia" w:ascii="仿宋_GB2312" w:hAnsi="仿宋_GB2312" w:eastAsia="仿宋_GB2312" w:cs="仿宋_GB2312"/>
          <w:color w:val="auto"/>
          <w:sz w:val="28"/>
          <w:szCs w:val="28"/>
          <w:highlight w:val="none"/>
          <w:lang w:val="en-US" w:eastAsia="zh-CN"/>
        </w:rPr>
        <w:t>后</w:t>
      </w:r>
      <w:r>
        <w:rPr>
          <w:rFonts w:hint="eastAsia" w:ascii="仿宋_GB2312" w:hAnsi="仿宋_GB2312" w:eastAsia="仿宋_GB2312" w:cs="仿宋_GB2312"/>
          <w:color w:val="auto"/>
          <w:sz w:val="28"/>
          <w:szCs w:val="28"/>
          <w:highlight w:val="none"/>
          <w:lang w:eastAsia="zh-CN"/>
        </w:rPr>
        <w:t>支付质保金。</w:t>
      </w:r>
    </w:p>
    <w:p w14:paraId="49A71336">
      <w:pPr>
        <w:keepNext w:val="0"/>
        <w:keepLines w:val="0"/>
        <w:pageBreakBefore w:val="0"/>
        <w:widowControl w:val="0"/>
        <w:kinsoku/>
        <w:wordWrap/>
        <w:overflowPunct/>
        <w:topLinePunct w:val="0"/>
        <w:autoSpaceDE/>
        <w:autoSpaceDN/>
        <w:bidi w:val="0"/>
        <w:adjustRightInd/>
        <w:snapToGrid w:val="0"/>
        <w:spacing w:line="500" w:lineRule="exact"/>
        <w:ind w:left="559" w:leftChars="266" w:right="0" w:firstLine="0" w:firstLineChars="0"/>
        <w:jc w:val="left"/>
        <w:textAlignment w:val="auto"/>
        <w:rPr>
          <w:rFonts w:ascii="宋体" w:hAnsi="宋体" w:eastAsia="宋体" w:cs="宋体"/>
          <w:b/>
          <w:bCs/>
          <w:color w:val="auto"/>
          <w:sz w:val="24"/>
          <w:szCs w:val="24"/>
          <w:highlight w:val="none"/>
          <w:lang w:eastAsia="zh-CN"/>
        </w:rPr>
      </w:pPr>
      <w:r>
        <w:rPr>
          <w:rFonts w:hint="eastAsia" w:ascii="仿宋_GB2312" w:hAnsi="仿宋_GB2312" w:eastAsia="仿宋_GB2312" w:cs="仿宋_GB2312"/>
          <w:b/>
          <w:bCs/>
          <w:color w:val="auto"/>
          <w:sz w:val="28"/>
          <w:szCs w:val="28"/>
          <w:highlight w:val="none"/>
          <w:lang w:val="en-US" w:eastAsia="zh-CN"/>
        </w:rPr>
        <w:t>10</w:t>
      </w:r>
      <w:r>
        <w:rPr>
          <w:rFonts w:hint="eastAsia" w:ascii="仿宋_GB2312" w:hAnsi="仿宋_GB2312" w:eastAsia="仿宋_GB2312" w:cs="仿宋_GB2312"/>
          <w:b/>
          <w:bCs/>
          <w:color w:val="auto"/>
          <w:sz w:val="28"/>
          <w:szCs w:val="28"/>
          <w:highlight w:val="none"/>
          <w:lang w:eastAsia="zh-CN"/>
        </w:rPr>
        <w:t>.补充条款</w:t>
      </w:r>
    </w:p>
    <w:p w14:paraId="54DA5217">
      <w:pPr>
        <w:keepNext w:val="0"/>
        <w:keepLines w:val="0"/>
        <w:pageBreakBefore w:val="0"/>
        <w:widowControl w:val="0"/>
        <w:kinsoku/>
        <w:wordWrap/>
        <w:overflowPunct/>
        <w:topLinePunct w:val="0"/>
        <w:autoSpaceDE/>
        <w:autoSpaceDN/>
        <w:bidi w:val="0"/>
        <w:adjustRightInd/>
        <w:snapToGrid/>
        <w:spacing w:line="500" w:lineRule="exact"/>
        <w:ind w:left="0" w:leftChars="0" w:right="0" w:firstLine="560" w:firstLineChars="200"/>
        <w:jc w:val="left"/>
        <w:textAlignment w:val="auto"/>
        <w:rPr>
          <w:rFonts w:ascii="宋体" w:hAnsi="宋体" w:eastAsia="宋体" w:cs="宋体"/>
          <w:color w:val="auto"/>
          <w:sz w:val="24"/>
          <w:szCs w:val="24"/>
          <w:highlight w:val="none"/>
          <w:lang w:eastAsia="zh-CN"/>
        </w:rPr>
      </w:pP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1除本监理合同另有规定外，在履行监理合同过程中，第三方向监理人或</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人收取的任何费用均应由监理人或</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人自行承担。</w:t>
      </w:r>
    </w:p>
    <w:p w14:paraId="188DF411">
      <w:pPr>
        <w:keepNext w:val="0"/>
        <w:keepLines w:val="0"/>
        <w:pageBreakBefore w:val="0"/>
        <w:widowControl w:val="0"/>
        <w:kinsoku/>
        <w:wordWrap/>
        <w:overflowPunct/>
        <w:topLinePunct w:val="0"/>
        <w:autoSpaceDE/>
        <w:autoSpaceDN/>
        <w:bidi w:val="0"/>
        <w:adjustRightInd/>
        <w:snapToGrid/>
        <w:spacing w:line="500" w:lineRule="exact"/>
        <w:ind w:left="0" w:leftChars="0" w:right="0" w:firstLine="560" w:firstLineChars="200"/>
        <w:jc w:val="left"/>
        <w:textAlignment w:val="auto"/>
        <w:rPr>
          <w:rFonts w:ascii="宋体" w:hAnsi="宋体" w:eastAsia="宋体" w:cs="宋体"/>
          <w:color w:val="auto"/>
          <w:sz w:val="24"/>
          <w:szCs w:val="24"/>
          <w:highlight w:val="none"/>
          <w:lang w:eastAsia="zh-CN"/>
        </w:rPr>
      </w:pP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2监理人或</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人依法所应缴纳的税款或行政规划费均应由监理人或</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人自行承担。如果法律规定</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人为监理人税款的代扣代缴义务人，则</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人在扣缴该税款后，将相应扣减支付给监理人的款额，同时向监理人提供有关完税证明。</w:t>
      </w:r>
    </w:p>
    <w:p w14:paraId="2DC890E0">
      <w:pPr>
        <w:keepNext w:val="0"/>
        <w:keepLines w:val="0"/>
        <w:pageBreakBefore w:val="0"/>
        <w:widowControl w:val="0"/>
        <w:kinsoku/>
        <w:wordWrap/>
        <w:overflowPunct/>
        <w:topLinePunct w:val="0"/>
        <w:autoSpaceDE/>
        <w:autoSpaceDN/>
        <w:bidi w:val="0"/>
        <w:adjustRightInd/>
        <w:snapToGrid/>
        <w:spacing w:line="500" w:lineRule="exact"/>
        <w:ind w:left="0" w:leftChars="0" w:right="0" w:firstLine="560" w:firstLineChars="200"/>
        <w:jc w:val="left"/>
        <w:textAlignment w:val="auto"/>
        <w:rPr>
          <w:rFonts w:ascii="宋体" w:hAnsi="宋体" w:eastAsia="宋体" w:cs="宋体"/>
          <w:color w:val="auto"/>
          <w:sz w:val="24"/>
          <w:szCs w:val="24"/>
          <w:highlight w:val="none"/>
          <w:lang w:eastAsia="zh-CN"/>
        </w:rPr>
      </w:pP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3如果监理人进行了本监理合同规定的服务范围以外的任何其他工作，且该项工作是应</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人要求，或经监理人建议而由</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批准实施的，则此工作将作为本监理合同项下的监理服务附加服务。但不得将监理合同中明确规定、或隐含于监理合同条款中，以及为履行本监理合同所必须提供的服务作为附加服务。若由于监理人的违约行为导致增加某项工作，则该项工作不得视为本监理合同项下的附加服务。</w:t>
      </w:r>
    </w:p>
    <w:p w14:paraId="27A54011">
      <w:pPr>
        <w:keepNext w:val="0"/>
        <w:keepLines w:val="0"/>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本监理合同适用中华人民共和国法律，并按其解释。如果在本监理合同生效后，因适用法律发生变化导致本监理合同某条款无效，双方应协商修改该条款。</w:t>
      </w:r>
    </w:p>
    <w:p w14:paraId="3359C22B">
      <w:pPr>
        <w:keepNext w:val="0"/>
        <w:keepLines w:val="0"/>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监理人不得将其在本监理合同项下的监理服务转让或分包给任何第三方。如</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rPr>
        <w:t>人意欲将其在本监理合同项下的监理服务转让给除贷款人以外的第三方，须经监理人同意。</w:t>
      </w:r>
    </w:p>
    <w:p w14:paraId="354EB2BA">
      <w:pPr>
        <w:keepNext w:val="0"/>
        <w:keepLines w:val="0"/>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10.6在监理工程缺陷责任期间，因监理人原因造成质量责任事故的，招标人有权扣除部分或全部质保金。</w:t>
      </w:r>
    </w:p>
    <w:p w14:paraId="774D3A18">
      <w:pPr>
        <w:keepNext w:val="0"/>
        <w:keepLines w:val="0"/>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10.7监理人应严格履行监理职责，如在施工过程中发现监理未发现的安全、质量、HSE、工程缺陷等问题，在对施工单位进行考核扣款的同时，视情节对监理连带施工单位考核扣款额的5%-10%的考核扣减。</w:t>
      </w:r>
    </w:p>
    <w:p w14:paraId="14FA8223">
      <w:pPr>
        <w:keepNext w:val="0"/>
        <w:keepLines w:val="0"/>
        <w:pageBreakBefore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10.8监理人在本工程竣工验收完成后，还须配合并参与</w:t>
      </w:r>
      <w:r>
        <w:rPr>
          <w:rFonts w:hint="eastAsia" w:ascii="仿宋_GB2312" w:hAnsi="仿宋_GB2312" w:eastAsia="仿宋_GB2312" w:cs="仿宋_GB2312"/>
          <w:color w:val="auto"/>
          <w:sz w:val="28"/>
          <w:szCs w:val="28"/>
          <w:highlight w:val="none"/>
          <w:lang w:eastAsia="zh-CN"/>
        </w:rPr>
        <w:t>青阳矿井及选煤厂110千伏第二回路供电线路工程</w:t>
      </w:r>
      <w:r>
        <w:rPr>
          <w:rFonts w:hint="eastAsia" w:ascii="仿宋_GB2312" w:hAnsi="仿宋_GB2312" w:eastAsia="仿宋_GB2312" w:cs="仿宋_GB2312"/>
          <w:color w:val="auto"/>
          <w:sz w:val="28"/>
          <w:szCs w:val="28"/>
          <w:highlight w:val="none"/>
          <w:lang w:val="en-US" w:eastAsia="zh-CN"/>
        </w:rPr>
        <w:t>项目竣工验收、决算及项目审计。如不配合并参与招标人有权对监理人造成的损失追究相关责任，所有损失由监理人承担。</w:t>
      </w:r>
    </w:p>
    <w:p w14:paraId="5E0BE8CB">
      <w:pPr>
        <w:keepNext w:val="0"/>
        <w:keepLines w:val="0"/>
        <w:pageBreakBefore w:val="0"/>
        <w:kinsoku/>
        <w:wordWrap/>
        <w:overflowPunct/>
        <w:topLinePunct w:val="0"/>
        <w:autoSpaceDE/>
        <w:autoSpaceDN/>
        <w:bidi w:val="0"/>
        <w:spacing w:line="50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10.9监理人因监理需要组织的相关咨询论证以及聘请相关专家等发生的咨询费用由监理人承担。</w:t>
      </w:r>
    </w:p>
    <w:p w14:paraId="36673C8D">
      <w:pPr>
        <w:pageBreakBefore w:val="0"/>
        <w:kinsoku/>
        <w:wordWrap/>
        <w:overflowPunct/>
        <w:topLinePunct w:val="0"/>
        <w:autoSpaceDE/>
        <w:autoSpaceDN/>
        <w:bidi w:val="0"/>
        <w:spacing w:line="500" w:lineRule="exact"/>
        <w:textAlignment w:val="auto"/>
        <w:rPr>
          <w:rFonts w:hint="eastAsia" w:ascii="仿宋_GB2312" w:hAnsi="仿宋_GB2312" w:eastAsia="仿宋_GB2312" w:cs="仿宋_GB2312"/>
          <w:color w:val="auto"/>
          <w:sz w:val="28"/>
          <w:szCs w:val="28"/>
          <w:highlight w:val="none"/>
        </w:rPr>
      </w:pPr>
    </w:p>
    <w:p w14:paraId="78A410F7">
      <w:pPr>
        <w:pageBreakBefore w:val="0"/>
        <w:kinsoku/>
        <w:wordWrap/>
        <w:overflowPunct/>
        <w:topLinePunct w:val="0"/>
        <w:autoSpaceDE/>
        <w:autoSpaceDN/>
        <w:bidi w:val="0"/>
        <w:spacing w:line="500" w:lineRule="exact"/>
        <w:textAlignment w:val="auto"/>
        <w:rPr>
          <w:rFonts w:hint="eastAsia" w:ascii="仿宋_GB2312" w:hAnsi="仿宋_GB2312" w:eastAsia="仿宋_GB2312" w:cs="仿宋_GB2312"/>
          <w:color w:val="auto"/>
          <w:sz w:val="28"/>
          <w:szCs w:val="28"/>
          <w:highlight w:val="none"/>
        </w:rPr>
        <w:sectPr>
          <w:pgSz w:w="11849" w:h="16781"/>
          <w:pgMar w:top="1383" w:right="1270" w:bottom="1417" w:left="1032" w:header="850" w:footer="850" w:gutter="567"/>
          <w:pgNumType w:fmt="numberInDash"/>
          <w:cols w:space="720" w:num="1"/>
          <w:rtlGutter w:val="0"/>
          <w:docGrid w:type="lines" w:linePitch="325" w:charSpace="0"/>
        </w:sectPr>
      </w:pPr>
    </w:p>
    <w:p w14:paraId="75D87535">
      <w:pPr>
        <w:pageBreakBefore w:val="0"/>
        <w:kinsoku/>
        <w:wordWrap/>
        <w:overflowPunct/>
        <w:topLinePunct w:val="0"/>
        <w:autoSpaceDE/>
        <w:autoSpaceDN/>
        <w:bidi w:val="0"/>
        <w:spacing w:line="500" w:lineRule="exact"/>
        <w:textAlignment w:val="auto"/>
        <w:rPr>
          <w:rFonts w:ascii="Times New Roman" w:hAnsi="Times New Roman" w:eastAsia="宋体" w:cs="Times New Roman"/>
          <w:color w:val="auto"/>
          <w:lang w:eastAsia="zh-CN"/>
        </w:rPr>
      </w:pPr>
    </w:p>
    <w:p w14:paraId="744348D5">
      <w:pPr>
        <w:keepNext/>
        <w:keepLines/>
        <w:pageBreakBefore w:val="0"/>
        <w:widowControl w:val="0"/>
        <w:kinsoku/>
        <w:wordWrap/>
        <w:overflowPunct/>
        <w:topLinePunct w:val="0"/>
        <w:autoSpaceDE/>
        <w:autoSpaceDN/>
        <w:bidi w:val="0"/>
        <w:spacing w:before="260" w:beforeLines="0" w:after="260" w:afterLines="0" w:line="500" w:lineRule="exact"/>
        <w:jc w:val="center"/>
        <w:textAlignment w:val="auto"/>
        <w:outlineLvl w:val="1"/>
        <w:rPr>
          <w:rFonts w:hint="eastAsia" w:ascii="仿宋_GB2312" w:hAnsi="仿宋_GB2312" w:eastAsia="仿宋_GB2312" w:cs="仿宋_GB2312"/>
          <w:b/>
          <w:bCs/>
          <w:color w:val="auto"/>
          <w:kern w:val="2"/>
          <w:sz w:val="28"/>
          <w:szCs w:val="28"/>
          <w:highlight w:val="none"/>
          <w:lang w:val="en-US" w:eastAsia="zh-CN" w:bidi="ar-SA"/>
        </w:rPr>
      </w:pPr>
      <w:bookmarkStart w:id="5" w:name="_Toc12553"/>
      <w:bookmarkStart w:id="6" w:name="_Toc1726"/>
      <w:r>
        <w:rPr>
          <w:rFonts w:hint="eastAsia" w:ascii="仿宋_GB2312" w:hAnsi="仿宋_GB2312" w:eastAsia="仿宋_GB2312" w:cs="仿宋_GB2312"/>
          <w:b/>
          <w:bCs/>
          <w:color w:val="auto"/>
          <w:kern w:val="2"/>
          <w:sz w:val="28"/>
          <w:szCs w:val="28"/>
          <w:highlight w:val="none"/>
          <w:lang w:val="en-US" w:eastAsia="zh-CN" w:bidi="ar-SA"/>
        </w:rPr>
        <w:t>第三部分    协议书</w:t>
      </w:r>
      <w:bookmarkEnd w:id="5"/>
      <w:bookmarkEnd w:id="6"/>
    </w:p>
    <w:p w14:paraId="0EDDB9FD">
      <w:pPr>
        <w:keepNext w:val="0"/>
        <w:keepLines w:val="0"/>
        <w:pageBreakBefore w:val="0"/>
        <w:widowControl/>
        <w:kinsoku/>
        <w:wordWrap/>
        <w:overflowPunct/>
        <w:topLinePunct w:val="0"/>
        <w:autoSpaceDE/>
        <w:autoSpaceDN/>
        <w:bidi w:val="0"/>
        <w:adjustRightInd/>
        <w:snapToGrid/>
        <w:spacing w:line="500" w:lineRule="exact"/>
        <w:ind w:left="422" w:leftChars="0" w:hanging="422" w:hangingChars="200"/>
        <w:textAlignment w:val="auto"/>
        <w:rPr>
          <w:rFonts w:hint="eastAsia" w:ascii="仿宋_GB2312" w:hAnsi="仿宋_GB2312" w:eastAsia="仿宋_GB2312" w:cs="仿宋_GB2312"/>
          <w:color w:val="auto"/>
          <w:sz w:val="28"/>
          <w:szCs w:val="28"/>
          <w:highlight w:val="none"/>
        </w:rPr>
      </w:pPr>
      <w:r>
        <w:rPr>
          <w:rFonts w:hint="eastAsia" w:ascii="宋体" w:hAnsi="宋体" w:eastAsia="宋体" w:cs="宋体"/>
          <w:b/>
          <w:color w:val="auto"/>
          <w:sz w:val="21"/>
          <w:szCs w:val="21"/>
          <w:highlight w:val="none"/>
        </w:rPr>
        <w:t xml:space="preserve">    </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eastAsia="zh-CN"/>
        </w:rPr>
        <w:t>招标人</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u w:val="single"/>
          <w:lang w:val="en-US" w:eastAsia="zh-CN"/>
        </w:rPr>
        <w:t>张掖青阳煤业有限公司</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与监理人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经双方</w:t>
      </w:r>
    </w:p>
    <w:p w14:paraId="572C4F70">
      <w:pPr>
        <w:keepNext w:val="0"/>
        <w:keepLines w:val="0"/>
        <w:pageBreakBefore w:val="0"/>
        <w:widowControl/>
        <w:kinsoku/>
        <w:wordWrap/>
        <w:overflowPunct/>
        <w:topLinePunct w:val="0"/>
        <w:autoSpaceDE/>
        <w:autoSpaceDN/>
        <w:bidi w:val="0"/>
        <w:adjustRightInd/>
        <w:snapToGrid/>
        <w:spacing w:line="500" w:lineRule="exact"/>
        <w:ind w:left="560" w:leftChars="0" w:hanging="560" w:hanging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协商一致，签订本合同。</w:t>
      </w:r>
    </w:p>
    <w:p w14:paraId="25CEBDA3">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一、招标人委托监理人监理的工程（以下简称“本工程”）概况如下：</w:t>
      </w:r>
    </w:p>
    <w:p w14:paraId="4B51DC29">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工程名称：</w:t>
      </w:r>
      <w:r>
        <w:rPr>
          <w:rFonts w:hint="eastAsia" w:ascii="仿宋_GB2312" w:hAnsi="仿宋_GB2312" w:eastAsia="仿宋_GB2312" w:cs="仿宋_GB2312"/>
          <w:color w:val="auto"/>
          <w:sz w:val="28"/>
          <w:szCs w:val="28"/>
          <w:highlight w:val="none"/>
          <w:lang w:eastAsia="zh-CN"/>
        </w:rPr>
        <w:t>张掖青阳煤业有限公司青阳矿井及选煤厂110千伏第二回路供电线路工程监理服务</w:t>
      </w:r>
    </w:p>
    <w:p w14:paraId="2E994BAB">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工程地点：</w:t>
      </w:r>
      <w:r>
        <w:rPr>
          <w:rFonts w:hint="eastAsia" w:ascii="仿宋_GB2312" w:hAnsi="仿宋_GB2312" w:eastAsia="仿宋_GB2312" w:cs="仿宋_GB2312"/>
          <w:color w:val="auto"/>
          <w:sz w:val="28"/>
          <w:szCs w:val="28"/>
          <w:highlight w:val="none"/>
          <w:lang w:val="en-US" w:eastAsia="zh-CN"/>
        </w:rPr>
        <w:t>甘肃省张掖市山丹县</w:t>
      </w:r>
    </w:p>
    <w:p w14:paraId="7AF84A87">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工程规模为：</w:t>
      </w:r>
    </w:p>
    <w:p w14:paraId="646D6E16">
      <w:pPr>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新建线路长度41.6km，其中架空线路约40.75km，电缆线路0.854km（2段），使用杆塔共149基的</w:t>
      </w:r>
      <w:r>
        <w:rPr>
          <w:rFonts w:hint="default" w:ascii="仿宋_GB2312" w:hAnsi="仿宋_GB2312" w:eastAsia="仿宋_GB2312" w:cs="仿宋_GB2312"/>
          <w:color w:val="auto"/>
          <w:sz w:val="28"/>
          <w:szCs w:val="28"/>
          <w:highlight w:val="none"/>
          <w:lang w:val="en-US" w:eastAsia="zh-CN"/>
        </w:rPr>
        <w:t>施工准备阶段、施工阶段、竣工验收阶段及缺陷责任阶段,具体以施工图和工程量清单范围内的全部建安工程,直至该工程通过验收为止的监理服务</w:t>
      </w:r>
      <w:r>
        <w:rPr>
          <w:rFonts w:hint="eastAsia" w:ascii="仿宋_GB2312" w:hAnsi="仿宋_GB2312" w:eastAsia="仿宋_GB2312" w:cs="仿宋_GB2312"/>
          <w:color w:val="auto"/>
          <w:sz w:val="28"/>
          <w:szCs w:val="28"/>
          <w:highlight w:val="none"/>
          <w:lang w:eastAsia="zh-CN"/>
        </w:rPr>
        <w:t>本</w:t>
      </w:r>
    </w:p>
    <w:p w14:paraId="187E5F57">
      <w:pPr>
        <w:keepNext w:val="0"/>
        <w:keepLines w:val="0"/>
        <w:pageBreakBefore w:val="0"/>
        <w:widowControl/>
        <w:kinsoku/>
        <w:wordWrap/>
        <w:overflowPunct/>
        <w:topLinePunct w:val="0"/>
        <w:autoSpaceDE/>
        <w:autoSpaceDN/>
        <w:bidi w:val="0"/>
        <w:adjustRightInd/>
        <w:snapToGrid/>
        <w:spacing w:line="500" w:lineRule="exact"/>
        <w:ind w:left="560" w:leftChars="0" w:hanging="560" w:hanging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合同中的有关词语含义与本合同第二部分《标准条件》中赋予它们的定义</w:t>
      </w:r>
    </w:p>
    <w:p w14:paraId="0166D99F">
      <w:pPr>
        <w:keepNext w:val="0"/>
        <w:keepLines w:val="0"/>
        <w:pageBreakBefore w:val="0"/>
        <w:widowControl/>
        <w:kinsoku/>
        <w:wordWrap/>
        <w:overflowPunct/>
        <w:topLinePunct w:val="0"/>
        <w:autoSpaceDE/>
        <w:autoSpaceDN/>
        <w:bidi w:val="0"/>
        <w:adjustRightInd/>
        <w:snapToGrid/>
        <w:spacing w:line="500" w:lineRule="exact"/>
        <w:ind w:left="560" w:leftChars="0" w:hanging="560" w:hanging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相同。</w:t>
      </w:r>
    </w:p>
    <w:p w14:paraId="063B408A">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三、下列文件均为本合同的组成部分：</w:t>
      </w:r>
    </w:p>
    <w:p w14:paraId="3630CAEB">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1、监理投标书、中标通知书或委托书；</w:t>
      </w:r>
    </w:p>
    <w:p w14:paraId="57FF5896">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2、本合同标准条件；</w:t>
      </w:r>
    </w:p>
    <w:p w14:paraId="7F64B5E8">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3、本合同专用条件；</w:t>
      </w:r>
    </w:p>
    <w:p w14:paraId="1D2FE75F">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4、在实施过程中双方共同签署的补充与修正文件。</w:t>
      </w:r>
    </w:p>
    <w:p w14:paraId="4C8BB2B7">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四、监理人向招标人承诺,按照本合同的规定,承担本合同专用条件中</w:t>
      </w:r>
    </w:p>
    <w:p w14:paraId="5814FF7C">
      <w:pPr>
        <w:keepNext w:val="0"/>
        <w:keepLines w:val="0"/>
        <w:pageBreakBefore w:val="0"/>
        <w:widowControl/>
        <w:kinsoku/>
        <w:wordWrap/>
        <w:overflowPunct/>
        <w:topLinePunct w:val="0"/>
        <w:autoSpaceDE/>
        <w:autoSpaceDN/>
        <w:bidi w:val="0"/>
        <w:adjustRightInd/>
        <w:snapToGrid/>
        <w:spacing w:line="500" w:lineRule="exact"/>
        <w:ind w:left="560" w:leftChars="0" w:hanging="560" w:hanging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议定范围内的监理业务。</w:t>
      </w:r>
    </w:p>
    <w:p w14:paraId="7E757F17">
      <w:pPr>
        <w:keepNext w:val="0"/>
        <w:keepLines w:val="0"/>
        <w:pageBreakBefore w:val="0"/>
        <w:widowControl/>
        <w:numPr>
          <w:ilvl w:val="0"/>
          <w:numId w:val="2"/>
        </w:numPr>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招标人向监理人承诺按照本合同注明的期限、方式、币种，向监</w:t>
      </w:r>
    </w:p>
    <w:p w14:paraId="0C43CC59">
      <w:pPr>
        <w:keepNext w:val="0"/>
        <w:keepLines w:val="0"/>
        <w:pageBreakBefore w:val="0"/>
        <w:widowControl/>
        <w:numPr>
          <w:ilvl w:val="0"/>
          <w:numId w:val="0"/>
        </w:numPr>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理人支付报酬。</w:t>
      </w:r>
    </w:p>
    <w:p w14:paraId="790EDE76">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六、未尽事宜，双方根据需要，经协商可另外签订补充合同。</w:t>
      </w:r>
    </w:p>
    <w:p w14:paraId="7804650D">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七、本合同经双方法定代表人或授权代理人签字盖章后生效。</w:t>
      </w:r>
    </w:p>
    <w:p w14:paraId="3224B6A9">
      <w:pPr>
        <w:keepNext w:val="0"/>
        <w:keepLines w:val="0"/>
        <w:pageBreakBefore w:val="0"/>
        <w:widowControl/>
        <w:kinsoku/>
        <w:wordWrap/>
        <w:overflowPunct/>
        <w:topLinePunct w:val="0"/>
        <w:autoSpaceDE/>
        <w:autoSpaceDN/>
        <w:bidi w:val="0"/>
        <w:adjustRightInd/>
        <w:snapToGrid/>
        <w:spacing w:line="500" w:lineRule="exact"/>
        <w:ind w:left="559" w:leftChars="266" w:firstLine="0" w:firstLine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八、本合同一式</w:t>
      </w:r>
      <w:r>
        <w:rPr>
          <w:rFonts w:hint="eastAsia" w:ascii="仿宋_GB2312" w:hAnsi="仿宋_GB2312" w:eastAsia="仿宋_GB2312" w:cs="仿宋_GB2312"/>
          <w:color w:val="auto"/>
          <w:sz w:val="28"/>
          <w:szCs w:val="28"/>
          <w:highlight w:val="none"/>
          <w:lang w:val="en-US" w:eastAsia="zh-CN"/>
        </w:rPr>
        <w:t xml:space="preserve"> 拾 </w:t>
      </w:r>
      <w:r>
        <w:rPr>
          <w:rFonts w:hint="eastAsia" w:ascii="仿宋_GB2312" w:hAnsi="仿宋_GB2312" w:eastAsia="仿宋_GB2312" w:cs="仿宋_GB2312"/>
          <w:color w:val="auto"/>
          <w:sz w:val="28"/>
          <w:szCs w:val="28"/>
          <w:highlight w:val="none"/>
          <w:lang w:eastAsia="zh-CN"/>
        </w:rPr>
        <w:t>份， 贰 份正本，双方各执 壹 份， 捌 份副本，</w:t>
      </w:r>
      <w:r>
        <w:rPr>
          <w:rFonts w:hint="eastAsia" w:ascii="仿宋_GB2312" w:hAnsi="仿宋_GB2312" w:eastAsia="仿宋_GB2312" w:cs="仿宋_GB2312"/>
          <w:color w:val="auto"/>
          <w:sz w:val="28"/>
          <w:szCs w:val="28"/>
          <w:highlight w:val="none"/>
          <w:lang w:val="en-US" w:eastAsia="zh-CN"/>
        </w:rPr>
        <w:t>招标</w:t>
      </w:r>
      <w:r>
        <w:rPr>
          <w:rFonts w:hint="eastAsia" w:ascii="仿宋_GB2312" w:hAnsi="仿宋_GB2312" w:eastAsia="仿宋_GB2312" w:cs="仿宋_GB2312"/>
          <w:color w:val="auto"/>
          <w:sz w:val="28"/>
          <w:szCs w:val="28"/>
          <w:highlight w:val="none"/>
          <w:lang w:eastAsia="zh-CN"/>
        </w:rPr>
        <w:t>人执 伍 份，</w:t>
      </w:r>
      <w:r>
        <w:rPr>
          <w:rFonts w:hint="eastAsia" w:ascii="仿宋_GB2312" w:hAnsi="仿宋_GB2312" w:eastAsia="仿宋_GB2312" w:cs="仿宋_GB2312"/>
          <w:color w:val="auto"/>
          <w:sz w:val="28"/>
          <w:szCs w:val="28"/>
          <w:highlight w:val="none"/>
          <w:lang w:val="en-US" w:eastAsia="zh-CN"/>
        </w:rPr>
        <w:t>监理</w:t>
      </w:r>
      <w:r>
        <w:rPr>
          <w:rFonts w:hint="eastAsia" w:ascii="仿宋_GB2312" w:hAnsi="仿宋_GB2312" w:eastAsia="仿宋_GB2312" w:cs="仿宋_GB2312"/>
          <w:color w:val="auto"/>
          <w:sz w:val="28"/>
          <w:szCs w:val="28"/>
          <w:highlight w:val="none"/>
          <w:lang w:eastAsia="zh-CN"/>
        </w:rPr>
        <w:t>人执 叁 份，均具有同等法律效力。</w:t>
      </w:r>
    </w:p>
    <w:p w14:paraId="125412E2">
      <w:pPr>
        <w:keepNext w:val="0"/>
        <w:keepLines w:val="0"/>
        <w:pageBreakBefore w:val="0"/>
        <w:widowControl/>
        <w:kinsoku/>
        <w:wordWrap/>
        <w:overflowPunct/>
        <w:topLinePunct w:val="0"/>
        <w:autoSpaceDE/>
        <w:autoSpaceDN/>
        <w:bidi w:val="0"/>
        <w:adjustRightInd/>
        <w:snapToGrid/>
        <w:spacing w:line="500" w:lineRule="exact"/>
        <w:ind w:left="560" w:leftChars="0" w:hanging="560" w:hangingChars="200"/>
        <w:textAlignment w:val="auto"/>
        <w:rPr>
          <w:rFonts w:hint="eastAsia" w:ascii="仿宋_GB2312" w:hAnsi="仿宋_GB2312" w:eastAsia="仿宋_GB2312" w:cs="仿宋_GB2312"/>
          <w:color w:val="auto"/>
          <w:sz w:val="28"/>
          <w:szCs w:val="28"/>
          <w:highlight w:val="none"/>
        </w:rPr>
        <w:sectPr>
          <w:pgSz w:w="11849" w:h="16781"/>
          <w:pgMar w:top="1383" w:right="1270" w:bottom="1417" w:left="1032" w:header="850" w:footer="850" w:gutter="567"/>
          <w:pgNumType w:fmt="numberInDash"/>
          <w:cols w:space="720" w:num="1"/>
          <w:rtlGutter w:val="0"/>
          <w:docGrid w:type="lines" w:linePitch="325" w:charSpace="0"/>
        </w:sectPr>
      </w:pPr>
    </w:p>
    <w:p w14:paraId="057E8F73">
      <w:pPr>
        <w:keepNext/>
        <w:keepLines/>
        <w:widowControl w:val="0"/>
        <w:bidi w:val="0"/>
        <w:spacing w:before="340" w:beforeLines="0" w:after="330" w:afterLines="0" w:line="576" w:lineRule="auto"/>
        <w:jc w:val="both"/>
        <w:outlineLvl w:val="0"/>
        <w:rPr>
          <w:rFonts w:hint="eastAsia" w:ascii="仿宋_GB2312" w:hAnsi="仿宋_GB2312" w:eastAsia="仿宋_GB2312" w:cs="仿宋_GB2312"/>
          <w:b/>
          <w:bCs/>
          <w:color w:val="auto"/>
          <w:kern w:val="44"/>
          <w:sz w:val="28"/>
          <w:szCs w:val="28"/>
          <w:highlight w:val="none"/>
          <w:lang w:val="en-US" w:eastAsia="zh-CN" w:bidi="ar-SA"/>
        </w:rPr>
      </w:pPr>
      <w:r>
        <w:rPr>
          <w:rFonts w:hint="eastAsia" w:ascii="仿宋_GB2312" w:hAnsi="仿宋_GB2312" w:eastAsia="仿宋_GB2312" w:cs="仿宋_GB2312"/>
          <w:b/>
          <w:bCs/>
          <w:color w:val="auto"/>
          <w:kern w:val="44"/>
          <w:sz w:val="28"/>
          <w:szCs w:val="28"/>
          <w:highlight w:val="none"/>
          <w:lang w:val="en-US" w:eastAsia="zh-CN" w:bidi="ar-SA"/>
        </w:rPr>
        <w:t>以下无正文，为</w:t>
      </w:r>
      <w:r>
        <w:rPr>
          <w:rFonts w:hint="eastAsia" w:ascii="仿宋_GB2312" w:hAnsi="仿宋_GB2312" w:eastAsia="仿宋_GB2312" w:cs="仿宋_GB2312"/>
          <w:b/>
          <w:bCs/>
          <w:color w:val="auto"/>
          <w:kern w:val="0"/>
          <w:sz w:val="28"/>
          <w:szCs w:val="28"/>
          <w:lang w:val="en-US" w:eastAsia="zh-CN" w:bidi="ar-SA"/>
        </w:rPr>
        <w:t>青阳矿井及选煤厂110千伏第二回路供电线路工程监理服务</w:t>
      </w:r>
      <w:r>
        <w:rPr>
          <w:rFonts w:hint="eastAsia" w:ascii="仿宋_GB2312" w:hAnsi="仿宋_GB2312" w:eastAsia="仿宋_GB2312" w:cs="仿宋_GB2312"/>
          <w:b/>
          <w:bCs/>
          <w:color w:val="auto"/>
          <w:kern w:val="44"/>
          <w:sz w:val="28"/>
          <w:szCs w:val="28"/>
          <w:highlight w:val="none"/>
          <w:lang w:val="en-US" w:eastAsia="zh-CN" w:bidi="ar-SA"/>
        </w:rPr>
        <w:t>合同签署页</w:t>
      </w:r>
    </w:p>
    <w:tbl>
      <w:tblPr>
        <w:tblStyle w:val="2"/>
        <w:tblW w:w="0" w:type="auto"/>
        <w:jc w:val="center"/>
        <w:tblLayout w:type="fixed"/>
        <w:tblCellMar>
          <w:top w:w="0" w:type="dxa"/>
          <w:left w:w="108" w:type="dxa"/>
          <w:bottom w:w="0" w:type="dxa"/>
          <w:right w:w="108" w:type="dxa"/>
        </w:tblCellMar>
      </w:tblPr>
      <w:tblGrid>
        <w:gridCol w:w="4306"/>
        <w:gridCol w:w="4427"/>
      </w:tblGrid>
      <w:tr w14:paraId="02B4564A">
        <w:tblPrEx>
          <w:tblCellMar>
            <w:top w:w="0" w:type="dxa"/>
            <w:left w:w="108" w:type="dxa"/>
            <w:bottom w:w="0" w:type="dxa"/>
            <w:right w:w="108" w:type="dxa"/>
          </w:tblCellMar>
        </w:tblPrEx>
        <w:trPr>
          <w:trHeight w:val="1403"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4637499A">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甲方（盖章）:</w:t>
            </w:r>
          </w:p>
          <w:p w14:paraId="22390145">
            <w:pPr>
              <w:spacing w:line="560" w:lineRule="exac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张掖青阳煤业有限公司</w:t>
            </w:r>
          </w:p>
        </w:tc>
        <w:tc>
          <w:tcPr>
            <w:tcW w:w="4427" w:type="dxa"/>
            <w:tcBorders>
              <w:top w:val="single" w:color="auto" w:sz="4" w:space="0"/>
              <w:left w:val="nil"/>
              <w:bottom w:val="single" w:color="auto" w:sz="4" w:space="0"/>
              <w:right w:val="single" w:color="000000" w:sz="4" w:space="0"/>
            </w:tcBorders>
            <w:noWrap w:val="0"/>
            <w:vAlign w:val="center"/>
          </w:tcPr>
          <w:p w14:paraId="3D1D2821">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乙方（盖章）:</w:t>
            </w:r>
          </w:p>
        </w:tc>
      </w:tr>
      <w:tr w14:paraId="09580625">
        <w:tblPrEx>
          <w:tblCellMar>
            <w:top w:w="0" w:type="dxa"/>
            <w:left w:w="108" w:type="dxa"/>
            <w:bottom w:w="0" w:type="dxa"/>
            <w:right w:w="108" w:type="dxa"/>
          </w:tblCellMar>
        </w:tblPrEx>
        <w:trPr>
          <w:trHeight w:val="858"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44471989">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tc>
        <w:tc>
          <w:tcPr>
            <w:tcW w:w="4427" w:type="dxa"/>
            <w:tcBorders>
              <w:top w:val="single" w:color="auto" w:sz="4" w:space="0"/>
              <w:left w:val="nil"/>
              <w:bottom w:val="single" w:color="auto" w:sz="4" w:space="0"/>
              <w:right w:val="single" w:color="auto" w:sz="4" w:space="0"/>
            </w:tcBorders>
            <w:noWrap w:val="0"/>
            <w:vAlign w:val="center"/>
          </w:tcPr>
          <w:p w14:paraId="7F633C27">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tc>
      </w:tr>
      <w:tr w14:paraId="78C81AC5">
        <w:tblPrEx>
          <w:tblCellMar>
            <w:top w:w="0" w:type="dxa"/>
            <w:left w:w="108" w:type="dxa"/>
            <w:bottom w:w="0" w:type="dxa"/>
            <w:right w:w="108" w:type="dxa"/>
          </w:tblCellMar>
        </w:tblPrEx>
        <w:trPr>
          <w:trHeight w:val="1264"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671116EA">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tc>
        <w:tc>
          <w:tcPr>
            <w:tcW w:w="4427" w:type="dxa"/>
            <w:tcBorders>
              <w:top w:val="single" w:color="auto" w:sz="4" w:space="0"/>
              <w:left w:val="nil"/>
              <w:bottom w:val="single" w:color="auto" w:sz="4" w:space="0"/>
              <w:right w:val="single" w:color="auto" w:sz="4" w:space="0"/>
            </w:tcBorders>
            <w:noWrap w:val="0"/>
            <w:vAlign w:val="center"/>
          </w:tcPr>
          <w:p w14:paraId="0BEBA6B8">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tc>
      </w:tr>
      <w:tr w14:paraId="29AE4EC5">
        <w:tblPrEx>
          <w:tblCellMar>
            <w:top w:w="0" w:type="dxa"/>
            <w:left w:w="108" w:type="dxa"/>
            <w:bottom w:w="0" w:type="dxa"/>
            <w:right w:w="108" w:type="dxa"/>
          </w:tblCellMar>
        </w:tblPrEx>
        <w:trPr>
          <w:trHeight w:val="1410"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top"/>
          </w:tcPr>
          <w:p w14:paraId="5AB87C54">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w:t>
            </w:r>
          </w:p>
        </w:tc>
        <w:tc>
          <w:tcPr>
            <w:tcW w:w="4427" w:type="dxa"/>
            <w:tcBorders>
              <w:top w:val="single" w:color="auto" w:sz="4" w:space="0"/>
              <w:left w:val="nil"/>
              <w:bottom w:val="single" w:color="auto" w:sz="4" w:space="0"/>
              <w:right w:val="single" w:color="000000" w:sz="4" w:space="0"/>
            </w:tcBorders>
            <w:noWrap w:val="0"/>
            <w:vAlign w:val="top"/>
          </w:tcPr>
          <w:p w14:paraId="09769AF3">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w:t>
            </w:r>
          </w:p>
        </w:tc>
      </w:tr>
      <w:tr w14:paraId="3582474D">
        <w:tblPrEx>
          <w:tblCellMar>
            <w:top w:w="0" w:type="dxa"/>
            <w:left w:w="108" w:type="dxa"/>
            <w:bottom w:w="0" w:type="dxa"/>
            <w:right w:w="108" w:type="dxa"/>
          </w:tblCellMar>
        </w:tblPrEx>
        <w:trPr>
          <w:trHeight w:val="730"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7ADBD237">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邮政编码：</w:t>
            </w:r>
          </w:p>
        </w:tc>
        <w:tc>
          <w:tcPr>
            <w:tcW w:w="4427" w:type="dxa"/>
            <w:tcBorders>
              <w:top w:val="single" w:color="auto" w:sz="4" w:space="0"/>
              <w:left w:val="nil"/>
              <w:bottom w:val="single" w:color="auto" w:sz="4" w:space="0"/>
              <w:right w:val="single" w:color="auto" w:sz="4" w:space="0"/>
            </w:tcBorders>
            <w:noWrap w:val="0"/>
            <w:vAlign w:val="center"/>
          </w:tcPr>
          <w:p w14:paraId="42166435">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邮政编码：</w:t>
            </w:r>
          </w:p>
        </w:tc>
      </w:tr>
      <w:tr w14:paraId="02503830">
        <w:tblPrEx>
          <w:tblCellMar>
            <w:top w:w="0" w:type="dxa"/>
            <w:left w:w="108" w:type="dxa"/>
            <w:bottom w:w="0" w:type="dxa"/>
            <w:right w:w="108" w:type="dxa"/>
          </w:tblCellMar>
        </w:tblPrEx>
        <w:trPr>
          <w:trHeight w:val="805"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661441DD">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tc>
        <w:tc>
          <w:tcPr>
            <w:tcW w:w="4427" w:type="dxa"/>
            <w:tcBorders>
              <w:top w:val="single" w:color="auto" w:sz="4" w:space="0"/>
              <w:left w:val="nil"/>
              <w:bottom w:val="single" w:color="auto" w:sz="4" w:space="0"/>
              <w:right w:val="single" w:color="auto" w:sz="4" w:space="0"/>
            </w:tcBorders>
            <w:noWrap w:val="0"/>
            <w:vAlign w:val="center"/>
          </w:tcPr>
          <w:p w14:paraId="68E186D6">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电话：</w:t>
            </w:r>
          </w:p>
        </w:tc>
      </w:tr>
      <w:tr w14:paraId="750679EC">
        <w:tblPrEx>
          <w:tblCellMar>
            <w:top w:w="0" w:type="dxa"/>
            <w:left w:w="108" w:type="dxa"/>
            <w:bottom w:w="0" w:type="dxa"/>
            <w:right w:w="108" w:type="dxa"/>
          </w:tblCellMar>
        </w:tblPrEx>
        <w:trPr>
          <w:trHeight w:val="760"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55BA4DAC">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传真：</w:t>
            </w:r>
          </w:p>
        </w:tc>
        <w:tc>
          <w:tcPr>
            <w:tcW w:w="4427" w:type="dxa"/>
            <w:tcBorders>
              <w:top w:val="single" w:color="auto" w:sz="4" w:space="0"/>
              <w:left w:val="nil"/>
              <w:bottom w:val="single" w:color="auto" w:sz="4" w:space="0"/>
              <w:right w:val="single" w:color="auto" w:sz="4" w:space="0"/>
            </w:tcBorders>
            <w:noWrap w:val="0"/>
            <w:vAlign w:val="center"/>
          </w:tcPr>
          <w:p w14:paraId="30DF44C2">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传真：</w:t>
            </w:r>
          </w:p>
        </w:tc>
      </w:tr>
      <w:tr w14:paraId="7BE6572A">
        <w:tblPrEx>
          <w:tblCellMar>
            <w:top w:w="0" w:type="dxa"/>
            <w:left w:w="108" w:type="dxa"/>
            <w:bottom w:w="0" w:type="dxa"/>
            <w:right w:w="108" w:type="dxa"/>
          </w:tblCellMar>
        </w:tblPrEx>
        <w:trPr>
          <w:trHeight w:val="723"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top"/>
          </w:tcPr>
          <w:p w14:paraId="4E1637AC">
            <w:pPr>
              <w:spacing w:line="560" w:lineRule="exact"/>
              <w:jc w:val="both"/>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开户银行：</w:t>
            </w:r>
          </w:p>
        </w:tc>
        <w:tc>
          <w:tcPr>
            <w:tcW w:w="4427" w:type="dxa"/>
            <w:tcBorders>
              <w:top w:val="single" w:color="auto" w:sz="4" w:space="0"/>
              <w:left w:val="nil"/>
              <w:bottom w:val="single" w:color="auto" w:sz="4" w:space="0"/>
              <w:right w:val="single" w:color="auto" w:sz="4" w:space="0"/>
            </w:tcBorders>
            <w:noWrap w:val="0"/>
            <w:vAlign w:val="top"/>
          </w:tcPr>
          <w:p w14:paraId="0D7FF87A">
            <w:pPr>
              <w:spacing w:line="560" w:lineRule="exact"/>
              <w:jc w:val="both"/>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开户银行：</w:t>
            </w:r>
          </w:p>
          <w:p w14:paraId="44644F75">
            <w:pPr>
              <w:spacing w:line="560" w:lineRule="exact"/>
              <w:jc w:val="both"/>
              <w:rPr>
                <w:rFonts w:hint="eastAsia" w:ascii="仿宋_GB2312" w:hAnsi="仿宋_GB2312" w:eastAsia="仿宋_GB2312" w:cs="仿宋_GB2312"/>
                <w:color w:val="auto"/>
                <w:sz w:val="28"/>
                <w:szCs w:val="28"/>
                <w:highlight w:val="none"/>
              </w:rPr>
            </w:pPr>
          </w:p>
        </w:tc>
      </w:tr>
      <w:tr w14:paraId="1AA752ED">
        <w:tblPrEx>
          <w:tblCellMar>
            <w:top w:w="0" w:type="dxa"/>
            <w:left w:w="108" w:type="dxa"/>
            <w:bottom w:w="0" w:type="dxa"/>
            <w:right w:w="108" w:type="dxa"/>
          </w:tblCellMar>
        </w:tblPrEx>
        <w:trPr>
          <w:trHeight w:val="745"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7CC70A5A">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帐号：</w:t>
            </w:r>
          </w:p>
        </w:tc>
        <w:tc>
          <w:tcPr>
            <w:tcW w:w="4427" w:type="dxa"/>
            <w:tcBorders>
              <w:top w:val="single" w:color="auto" w:sz="4" w:space="0"/>
              <w:left w:val="nil"/>
              <w:bottom w:val="single" w:color="auto" w:sz="4" w:space="0"/>
              <w:right w:val="single" w:color="auto" w:sz="4" w:space="0"/>
            </w:tcBorders>
            <w:noWrap w:val="0"/>
            <w:vAlign w:val="center"/>
          </w:tcPr>
          <w:p w14:paraId="022A5344">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帐号：</w:t>
            </w:r>
          </w:p>
        </w:tc>
      </w:tr>
      <w:tr w14:paraId="6ACDBF84">
        <w:tblPrEx>
          <w:tblCellMar>
            <w:top w:w="0" w:type="dxa"/>
            <w:left w:w="108" w:type="dxa"/>
            <w:bottom w:w="0" w:type="dxa"/>
            <w:right w:w="108" w:type="dxa"/>
          </w:tblCellMar>
        </w:tblPrEx>
        <w:trPr>
          <w:trHeight w:val="824"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6647218A">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纳税人登记号：</w:t>
            </w:r>
          </w:p>
        </w:tc>
        <w:tc>
          <w:tcPr>
            <w:tcW w:w="4427" w:type="dxa"/>
            <w:tcBorders>
              <w:top w:val="single" w:color="auto" w:sz="4" w:space="0"/>
              <w:left w:val="nil"/>
              <w:bottom w:val="single" w:color="auto" w:sz="4" w:space="0"/>
              <w:right w:val="single" w:color="auto" w:sz="4" w:space="0"/>
            </w:tcBorders>
            <w:noWrap w:val="0"/>
            <w:vAlign w:val="center"/>
          </w:tcPr>
          <w:p w14:paraId="14522BE2">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纳税人登记号：</w:t>
            </w:r>
          </w:p>
        </w:tc>
      </w:tr>
      <w:tr w14:paraId="02334921">
        <w:tblPrEx>
          <w:tblCellMar>
            <w:top w:w="0" w:type="dxa"/>
            <w:left w:w="108" w:type="dxa"/>
            <w:bottom w:w="0" w:type="dxa"/>
            <w:right w:w="108" w:type="dxa"/>
          </w:tblCellMar>
        </w:tblPrEx>
        <w:trPr>
          <w:trHeight w:val="725"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6D7A74D4">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tc>
        <w:tc>
          <w:tcPr>
            <w:tcW w:w="4427" w:type="dxa"/>
            <w:tcBorders>
              <w:top w:val="single" w:color="auto" w:sz="4" w:space="0"/>
              <w:left w:val="nil"/>
              <w:bottom w:val="single" w:color="auto" w:sz="4" w:space="0"/>
              <w:right w:val="single" w:color="auto" w:sz="4" w:space="0"/>
            </w:tcBorders>
            <w:noWrap w:val="0"/>
            <w:vAlign w:val="center"/>
          </w:tcPr>
          <w:p w14:paraId="5DED145B">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tc>
      </w:tr>
      <w:tr w14:paraId="57A90114">
        <w:tblPrEx>
          <w:tblCellMar>
            <w:top w:w="0" w:type="dxa"/>
            <w:left w:w="108" w:type="dxa"/>
            <w:bottom w:w="0" w:type="dxa"/>
            <w:right w:w="108" w:type="dxa"/>
          </w:tblCellMar>
        </w:tblPrEx>
        <w:trPr>
          <w:trHeight w:val="830" w:hRule="atLeast"/>
          <w:jc w:val="center"/>
        </w:trPr>
        <w:tc>
          <w:tcPr>
            <w:tcW w:w="4306" w:type="dxa"/>
            <w:tcBorders>
              <w:top w:val="single" w:color="auto" w:sz="4" w:space="0"/>
              <w:left w:val="single" w:color="auto" w:sz="4" w:space="0"/>
              <w:bottom w:val="single" w:color="auto" w:sz="4" w:space="0"/>
              <w:right w:val="single" w:color="auto" w:sz="4" w:space="0"/>
            </w:tcBorders>
            <w:noWrap w:val="0"/>
            <w:vAlign w:val="center"/>
          </w:tcPr>
          <w:p w14:paraId="3F6EF8DA">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签订日期：202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年   月   日</w:t>
            </w:r>
          </w:p>
        </w:tc>
        <w:tc>
          <w:tcPr>
            <w:tcW w:w="4427" w:type="dxa"/>
            <w:tcBorders>
              <w:top w:val="single" w:color="auto" w:sz="4" w:space="0"/>
              <w:left w:val="nil"/>
              <w:bottom w:val="single" w:color="auto" w:sz="4" w:space="0"/>
              <w:right w:val="single" w:color="auto" w:sz="4" w:space="0"/>
            </w:tcBorders>
            <w:noWrap w:val="0"/>
            <w:vAlign w:val="center"/>
          </w:tcPr>
          <w:p w14:paraId="652FC1B9">
            <w:pPr>
              <w:spacing w:line="5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签订日期：202</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年   月   日</w:t>
            </w:r>
          </w:p>
        </w:tc>
      </w:tr>
    </w:tbl>
    <w:p w14:paraId="424A0182">
      <w:pPr>
        <w:rPr>
          <w:rFonts w:hint="eastAsia" w:ascii="仿宋_GB2312" w:hAnsi="仿宋_GB2312" w:eastAsia="仿宋_GB2312" w:cs="仿宋_GB2312"/>
          <w:color w:val="auto"/>
          <w:sz w:val="28"/>
          <w:szCs w:val="28"/>
          <w:highlight w:val="none"/>
        </w:rPr>
        <w:sectPr>
          <w:footerReference r:id="rId4" w:type="default"/>
          <w:pgSz w:w="11849" w:h="16781"/>
          <w:pgMar w:top="1383" w:right="1270" w:bottom="1417" w:left="1032" w:header="850" w:footer="850" w:gutter="567"/>
          <w:pgNumType w:fmt="numberInDash"/>
          <w:cols w:space="720" w:num="1"/>
          <w:rtlGutter w:val="0"/>
          <w:docGrid w:type="lines" w:linePitch="325" w:charSpace="0"/>
        </w:sectPr>
      </w:pPr>
    </w:p>
    <w:p w14:paraId="39EEDA31">
      <w:pPr>
        <w:spacing w:line="440" w:lineRule="exact"/>
        <w:rPr>
          <w:rFonts w:hint="eastAsia" w:ascii="仿宋_GB2312" w:hAnsi="仿宋_GB2312" w:eastAsia="仿宋_GB2312" w:cs="仿宋_GB2312"/>
          <w:b/>
          <w:color w:val="auto"/>
          <w:sz w:val="28"/>
          <w:szCs w:val="28"/>
          <w:highlight w:val="none"/>
        </w:rPr>
      </w:pPr>
      <w:bookmarkStart w:id="7" w:name="_Toc351203652"/>
      <w:r>
        <w:rPr>
          <w:rFonts w:hint="eastAsia" w:ascii="仿宋_GB2312" w:hAnsi="仿宋_GB2312" w:eastAsia="仿宋_GB2312" w:cs="仿宋_GB2312"/>
          <w:b/>
          <w:color w:val="auto"/>
          <w:sz w:val="28"/>
          <w:szCs w:val="28"/>
          <w:highlight w:val="none"/>
        </w:rPr>
        <w:t>合同附件</w:t>
      </w:r>
      <w:bookmarkEnd w:id="7"/>
      <w:r>
        <w:rPr>
          <w:rFonts w:hint="eastAsia" w:ascii="仿宋_GB2312" w:hAnsi="仿宋_GB2312" w:eastAsia="仿宋_GB2312" w:cs="仿宋_GB2312"/>
          <w:b/>
          <w:color w:val="auto"/>
          <w:sz w:val="28"/>
          <w:szCs w:val="28"/>
          <w:highlight w:val="none"/>
        </w:rPr>
        <w:t>：</w:t>
      </w:r>
    </w:p>
    <w:p w14:paraId="200452AC">
      <w:pPr>
        <w:spacing w:line="4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附件1：工程监理考核约定</w:t>
      </w:r>
    </w:p>
    <w:p w14:paraId="4F1C286C">
      <w:pPr>
        <w:spacing w:line="44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附件2：本工程对监理人员配备及其素质的基本要求</w:t>
      </w:r>
    </w:p>
    <w:p w14:paraId="23C7442C">
      <w:pPr>
        <w:spacing w:line="440" w:lineRule="exact"/>
        <w:ind w:firstLine="560" w:firstLineChars="200"/>
        <w:rPr>
          <w:rFonts w:hint="eastAsia" w:ascii="宋体" w:hAnsi="宋体" w:eastAsia="宋体" w:cs="宋体"/>
          <w:color w:val="auto"/>
          <w:sz w:val="28"/>
          <w:szCs w:val="28"/>
          <w:highlight w:val="none"/>
        </w:rPr>
      </w:pPr>
      <w:r>
        <w:rPr>
          <w:rFonts w:hint="eastAsia" w:ascii="仿宋_GB2312" w:hAnsi="仿宋_GB2312" w:eastAsia="仿宋_GB2312" w:cs="仿宋_GB2312"/>
          <w:color w:val="auto"/>
          <w:sz w:val="28"/>
          <w:szCs w:val="28"/>
          <w:highlight w:val="none"/>
        </w:rPr>
        <w:t>附件3：廉洁协议书</w:t>
      </w:r>
    </w:p>
    <w:p w14:paraId="1ED9EBD0">
      <w:pPr>
        <w:spacing w:line="360" w:lineRule="auto"/>
        <w:ind w:firstLine="560" w:firstLineChars="200"/>
        <w:rPr>
          <w:rFonts w:hint="eastAsia" w:ascii="宋体" w:hAnsi="宋体" w:eastAsia="宋体" w:cs="宋体"/>
          <w:color w:val="auto"/>
          <w:sz w:val="28"/>
          <w:szCs w:val="28"/>
          <w:highlight w:val="none"/>
        </w:rPr>
      </w:pPr>
      <w:bookmarkStart w:id="8" w:name="_Toc278231956"/>
      <w:bookmarkStart w:id="9" w:name="_Toc278309716"/>
    </w:p>
    <w:p w14:paraId="6685554B">
      <w:pPr>
        <w:spacing w:line="460" w:lineRule="exact"/>
        <w:rPr>
          <w:rFonts w:hint="eastAsia" w:ascii="仿宋_GB2312" w:hAnsi="仿宋_GB2312" w:eastAsia="仿宋_GB2312" w:cs="仿宋_GB2312"/>
          <w:b/>
          <w:bCs/>
          <w:color w:val="auto"/>
          <w:sz w:val="28"/>
          <w:szCs w:val="28"/>
          <w:highlight w:val="none"/>
          <w:lang w:val="zh-CN"/>
        </w:rPr>
      </w:pPr>
      <w:r>
        <w:rPr>
          <w:rFonts w:hint="eastAsia" w:ascii="宋体" w:hAnsi="宋体" w:eastAsia="宋体" w:cs="宋体"/>
          <w:color w:val="auto"/>
          <w:szCs w:val="21"/>
          <w:highlight w:val="none"/>
        </w:rPr>
        <w:br w:type="page"/>
      </w:r>
      <w:bookmarkEnd w:id="8"/>
      <w:bookmarkEnd w:id="9"/>
      <w:r>
        <w:rPr>
          <w:rFonts w:hint="eastAsia" w:ascii="仿宋_GB2312" w:hAnsi="仿宋_GB2312" w:eastAsia="仿宋_GB2312" w:cs="仿宋_GB2312"/>
          <w:b/>
          <w:bCs/>
          <w:color w:val="auto"/>
          <w:sz w:val="28"/>
          <w:szCs w:val="28"/>
          <w:highlight w:val="none"/>
        </w:rPr>
        <w:t xml:space="preserve">附件1 </w:t>
      </w:r>
      <w:r>
        <w:rPr>
          <w:rFonts w:hint="eastAsia" w:ascii="仿宋_GB2312" w:hAnsi="仿宋_GB2312" w:eastAsia="仿宋_GB2312" w:cs="仿宋_GB2312"/>
          <w:b/>
          <w:bCs/>
          <w:color w:val="auto"/>
          <w:sz w:val="28"/>
          <w:szCs w:val="28"/>
          <w:highlight w:val="none"/>
          <w:lang w:val="zh-CN"/>
        </w:rPr>
        <w:t xml:space="preserve">：附加协议条款    </w:t>
      </w:r>
    </w:p>
    <w:p w14:paraId="324EEB6B">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工程监理考核约定</w:t>
      </w:r>
    </w:p>
    <w:p w14:paraId="24361952">
      <w:pPr>
        <w:spacing w:line="440" w:lineRule="exac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1. 考核</w:t>
      </w:r>
    </w:p>
    <w:p w14:paraId="0B32BD19">
      <w:pPr>
        <w:widowControl w:val="0"/>
        <w:snapToGrid w:val="0"/>
        <w:spacing w:line="440" w:lineRule="exact"/>
        <w:jc w:val="both"/>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依据考核条款执行</w:t>
      </w:r>
    </w:p>
    <w:p w14:paraId="7B857833">
      <w:pPr>
        <w:widowControl w:val="0"/>
        <w:snapToGrid w:val="0"/>
        <w:spacing w:line="440" w:lineRule="exact"/>
        <w:jc w:val="both"/>
        <w:rPr>
          <w:rFonts w:hint="eastAsia" w:ascii="仿宋_GB2312" w:hAnsi="仿宋_GB2312" w:eastAsia="仿宋_GB2312" w:cs="仿宋_GB2312"/>
          <w:b/>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ar-SA"/>
        </w:rPr>
        <w:t>2</w:t>
      </w:r>
      <w:r>
        <w:rPr>
          <w:rFonts w:hint="eastAsia" w:ascii="仿宋_GB2312" w:hAnsi="仿宋_GB2312" w:eastAsia="仿宋_GB2312" w:cs="仿宋_GB2312"/>
          <w:b/>
          <w:color w:val="auto"/>
          <w:kern w:val="2"/>
          <w:sz w:val="28"/>
          <w:szCs w:val="28"/>
          <w:highlight w:val="none"/>
          <w:lang w:val="en-US" w:eastAsia="zh-CN" w:bidi="he-IL"/>
        </w:rPr>
        <w:t>. 其它：考核条款</w:t>
      </w:r>
    </w:p>
    <w:p w14:paraId="2B06D853">
      <w:pPr>
        <w:widowControl w:val="0"/>
        <w:snapToGrid w:val="0"/>
        <w:spacing w:line="440" w:lineRule="exact"/>
        <w:jc w:val="both"/>
        <w:rPr>
          <w:rFonts w:hint="eastAsia" w:ascii="仿宋_GB2312" w:hAnsi="仿宋_GB2312" w:eastAsia="仿宋_GB2312" w:cs="仿宋_GB2312"/>
          <w:b/>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he-IL"/>
        </w:rPr>
        <w:t>2.1安全考核</w:t>
      </w:r>
    </w:p>
    <w:tbl>
      <w:tblPr>
        <w:tblStyle w:val="2"/>
        <w:tblW w:w="964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5778"/>
        <w:gridCol w:w="2126"/>
      </w:tblGrid>
      <w:tr w14:paraId="76CE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736" w:type="dxa"/>
            <w:noWrap w:val="0"/>
            <w:vAlign w:val="center"/>
          </w:tcPr>
          <w:p w14:paraId="5A8014B1">
            <w:pPr>
              <w:spacing w:line="360" w:lineRule="exact"/>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考核条目</w:t>
            </w:r>
          </w:p>
        </w:tc>
        <w:tc>
          <w:tcPr>
            <w:tcW w:w="5778" w:type="dxa"/>
            <w:noWrap w:val="0"/>
            <w:vAlign w:val="center"/>
          </w:tcPr>
          <w:p w14:paraId="31B4AA40">
            <w:pPr>
              <w:spacing w:line="360" w:lineRule="exact"/>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考核内容</w:t>
            </w:r>
          </w:p>
        </w:tc>
        <w:tc>
          <w:tcPr>
            <w:tcW w:w="2126" w:type="dxa"/>
            <w:noWrap w:val="0"/>
            <w:vAlign w:val="center"/>
          </w:tcPr>
          <w:p w14:paraId="4173B63F">
            <w:pPr>
              <w:spacing w:line="360" w:lineRule="exact"/>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考核标准</w:t>
            </w:r>
          </w:p>
        </w:tc>
      </w:tr>
      <w:tr w14:paraId="5F30A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restart"/>
            <w:noWrap w:val="0"/>
            <w:vAlign w:val="center"/>
          </w:tcPr>
          <w:p w14:paraId="22948C69">
            <w:pPr>
              <w:spacing w:line="360" w:lineRule="exact"/>
              <w:rPr>
                <w:rFonts w:hint="eastAsia" w:ascii="仿宋_GB2312" w:hAnsi="仿宋_GB2312" w:eastAsia="仿宋_GB2312" w:cs="仿宋_GB2312"/>
                <w:color w:val="auto"/>
                <w:sz w:val="28"/>
                <w:szCs w:val="28"/>
                <w:highlight w:val="none"/>
              </w:rPr>
            </w:pPr>
          </w:p>
          <w:p w14:paraId="1B933412">
            <w:pPr>
              <w:spacing w:line="360" w:lineRule="exact"/>
              <w:rPr>
                <w:rFonts w:hint="eastAsia" w:ascii="仿宋_GB2312" w:hAnsi="仿宋_GB2312" w:eastAsia="仿宋_GB2312" w:cs="仿宋_GB2312"/>
                <w:color w:val="auto"/>
                <w:sz w:val="28"/>
                <w:szCs w:val="28"/>
                <w:highlight w:val="none"/>
              </w:rPr>
            </w:pPr>
          </w:p>
          <w:p w14:paraId="770FDE08">
            <w:pPr>
              <w:spacing w:line="360" w:lineRule="exact"/>
              <w:rPr>
                <w:rFonts w:hint="eastAsia" w:ascii="仿宋_GB2312" w:hAnsi="仿宋_GB2312" w:eastAsia="仿宋_GB2312" w:cs="仿宋_GB2312"/>
                <w:color w:val="auto"/>
                <w:sz w:val="28"/>
                <w:szCs w:val="28"/>
                <w:highlight w:val="none"/>
              </w:rPr>
            </w:pPr>
          </w:p>
          <w:p w14:paraId="77E073C7">
            <w:pPr>
              <w:spacing w:line="360" w:lineRule="exact"/>
              <w:rPr>
                <w:rFonts w:hint="eastAsia" w:ascii="仿宋_GB2312" w:hAnsi="仿宋_GB2312" w:eastAsia="仿宋_GB2312" w:cs="仿宋_GB2312"/>
                <w:color w:val="auto"/>
                <w:sz w:val="28"/>
                <w:szCs w:val="28"/>
                <w:highlight w:val="none"/>
              </w:rPr>
            </w:pPr>
          </w:p>
          <w:p w14:paraId="69C343BB">
            <w:pPr>
              <w:spacing w:line="360" w:lineRule="exact"/>
              <w:rPr>
                <w:rFonts w:hint="eastAsia" w:ascii="仿宋_GB2312" w:hAnsi="仿宋_GB2312" w:eastAsia="仿宋_GB2312" w:cs="仿宋_GB2312"/>
                <w:color w:val="auto"/>
                <w:sz w:val="28"/>
                <w:szCs w:val="28"/>
                <w:highlight w:val="none"/>
              </w:rPr>
            </w:pPr>
          </w:p>
          <w:p w14:paraId="2C438275">
            <w:pPr>
              <w:spacing w:line="360" w:lineRule="exact"/>
              <w:rPr>
                <w:rFonts w:hint="eastAsia" w:ascii="仿宋_GB2312" w:hAnsi="仿宋_GB2312" w:eastAsia="仿宋_GB2312" w:cs="仿宋_GB2312"/>
                <w:color w:val="auto"/>
                <w:sz w:val="28"/>
                <w:szCs w:val="28"/>
                <w:highlight w:val="none"/>
              </w:rPr>
            </w:pPr>
          </w:p>
          <w:p w14:paraId="6A8A956D">
            <w:pPr>
              <w:spacing w:line="360" w:lineRule="exact"/>
              <w:rPr>
                <w:rFonts w:hint="eastAsia" w:ascii="仿宋_GB2312" w:hAnsi="仿宋_GB2312" w:eastAsia="仿宋_GB2312" w:cs="仿宋_GB2312"/>
                <w:color w:val="auto"/>
                <w:sz w:val="28"/>
                <w:szCs w:val="28"/>
                <w:highlight w:val="none"/>
              </w:rPr>
            </w:pPr>
          </w:p>
          <w:p w14:paraId="688F8BED">
            <w:pPr>
              <w:spacing w:line="360" w:lineRule="exact"/>
              <w:rPr>
                <w:rFonts w:hint="eastAsia" w:ascii="仿宋_GB2312" w:hAnsi="仿宋_GB2312" w:eastAsia="仿宋_GB2312" w:cs="仿宋_GB2312"/>
                <w:color w:val="auto"/>
                <w:sz w:val="28"/>
                <w:szCs w:val="28"/>
                <w:highlight w:val="none"/>
              </w:rPr>
            </w:pPr>
          </w:p>
          <w:p w14:paraId="35849340">
            <w:pPr>
              <w:spacing w:line="360" w:lineRule="exact"/>
              <w:rPr>
                <w:rFonts w:hint="eastAsia" w:ascii="仿宋_GB2312" w:hAnsi="仿宋_GB2312" w:eastAsia="仿宋_GB2312" w:cs="仿宋_GB2312"/>
                <w:color w:val="auto"/>
                <w:sz w:val="28"/>
                <w:szCs w:val="28"/>
                <w:highlight w:val="none"/>
              </w:rPr>
            </w:pPr>
          </w:p>
          <w:p w14:paraId="75FE8E4A">
            <w:pPr>
              <w:spacing w:line="360" w:lineRule="exact"/>
              <w:rPr>
                <w:rFonts w:hint="eastAsia" w:ascii="仿宋_GB2312" w:hAnsi="仿宋_GB2312" w:eastAsia="仿宋_GB2312" w:cs="仿宋_GB2312"/>
                <w:color w:val="auto"/>
                <w:sz w:val="28"/>
                <w:szCs w:val="28"/>
                <w:highlight w:val="none"/>
              </w:rPr>
            </w:pPr>
          </w:p>
          <w:p w14:paraId="7BD73D77">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（一）、不安全事件及事故</w:t>
            </w:r>
          </w:p>
          <w:p w14:paraId="331F057A">
            <w:pPr>
              <w:spacing w:line="360" w:lineRule="exact"/>
              <w:rPr>
                <w:rFonts w:hint="eastAsia" w:ascii="仿宋_GB2312" w:hAnsi="仿宋_GB2312" w:eastAsia="仿宋_GB2312" w:cs="仿宋_GB2312"/>
                <w:color w:val="auto"/>
                <w:sz w:val="28"/>
                <w:szCs w:val="28"/>
                <w:highlight w:val="none"/>
              </w:rPr>
            </w:pPr>
          </w:p>
          <w:p w14:paraId="0F1A1DB8">
            <w:pPr>
              <w:spacing w:line="360" w:lineRule="exact"/>
              <w:rPr>
                <w:rFonts w:hint="eastAsia" w:ascii="仿宋_GB2312" w:hAnsi="仿宋_GB2312" w:eastAsia="仿宋_GB2312" w:cs="仿宋_GB2312"/>
                <w:color w:val="auto"/>
                <w:sz w:val="28"/>
                <w:szCs w:val="28"/>
                <w:highlight w:val="none"/>
              </w:rPr>
            </w:pPr>
          </w:p>
          <w:p w14:paraId="14B07BED">
            <w:pPr>
              <w:spacing w:line="360" w:lineRule="exact"/>
              <w:rPr>
                <w:rFonts w:hint="eastAsia" w:ascii="仿宋_GB2312" w:hAnsi="仿宋_GB2312" w:eastAsia="仿宋_GB2312" w:cs="仿宋_GB2312"/>
                <w:color w:val="auto"/>
                <w:sz w:val="28"/>
                <w:szCs w:val="28"/>
                <w:highlight w:val="none"/>
              </w:rPr>
            </w:pPr>
          </w:p>
          <w:p w14:paraId="60DBA7FB">
            <w:pPr>
              <w:spacing w:line="360" w:lineRule="exact"/>
              <w:rPr>
                <w:rFonts w:hint="eastAsia" w:ascii="仿宋_GB2312" w:hAnsi="仿宋_GB2312" w:eastAsia="仿宋_GB2312" w:cs="仿宋_GB2312"/>
                <w:color w:val="auto"/>
                <w:sz w:val="28"/>
                <w:szCs w:val="28"/>
                <w:highlight w:val="none"/>
              </w:rPr>
            </w:pPr>
          </w:p>
          <w:p w14:paraId="643D0C18">
            <w:pPr>
              <w:spacing w:line="360" w:lineRule="exact"/>
              <w:rPr>
                <w:rFonts w:hint="eastAsia" w:ascii="仿宋_GB2312" w:hAnsi="仿宋_GB2312" w:eastAsia="仿宋_GB2312" w:cs="仿宋_GB2312"/>
                <w:color w:val="auto"/>
                <w:sz w:val="28"/>
                <w:szCs w:val="28"/>
                <w:highlight w:val="none"/>
              </w:rPr>
            </w:pPr>
          </w:p>
          <w:p w14:paraId="0AB3B817">
            <w:pPr>
              <w:spacing w:line="360" w:lineRule="exact"/>
              <w:rPr>
                <w:rFonts w:hint="eastAsia" w:ascii="仿宋_GB2312" w:hAnsi="仿宋_GB2312" w:eastAsia="仿宋_GB2312" w:cs="仿宋_GB2312"/>
                <w:color w:val="auto"/>
                <w:sz w:val="28"/>
                <w:szCs w:val="28"/>
                <w:highlight w:val="none"/>
              </w:rPr>
            </w:pPr>
          </w:p>
          <w:p w14:paraId="12620B78">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3A366146">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1.发生人身死亡事故，追究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p>
        </w:tc>
        <w:tc>
          <w:tcPr>
            <w:tcW w:w="2126" w:type="dxa"/>
            <w:noWrap w:val="0"/>
            <w:vAlign w:val="center"/>
          </w:tcPr>
          <w:p w14:paraId="3BD800B2">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0万元/人次。</w:t>
            </w:r>
          </w:p>
        </w:tc>
      </w:tr>
      <w:tr w14:paraId="1707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231EB8EB">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72F2A19F">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2.发生重伤事故，追究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的责任。重复发生累计加倍处罚。</w:t>
            </w:r>
          </w:p>
        </w:tc>
        <w:tc>
          <w:tcPr>
            <w:tcW w:w="2126" w:type="dxa"/>
            <w:noWrap w:val="0"/>
            <w:vAlign w:val="center"/>
          </w:tcPr>
          <w:p w14:paraId="5CC54D1B">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万元/人次。</w:t>
            </w:r>
          </w:p>
        </w:tc>
      </w:tr>
      <w:tr w14:paraId="5B9E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0D851D12">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0DFAD6FA">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3.发生轻伤事故，追究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的责任。重复发生累计加倍处罚。</w:t>
            </w:r>
          </w:p>
        </w:tc>
        <w:tc>
          <w:tcPr>
            <w:tcW w:w="2126" w:type="dxa"/>
            <w:noWrap w:val="0"/>
            <w:vAlign w:val="center"/>
          </w:tcPr>
          <w:p w14:paraId="66AAC0F1">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万元/人次。</w:t>
            </w:r>
          </w:p>
        </w:tc>
      </w:tr>
      <w:tr w14:paraId="1444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06475138">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16158A3E">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4.发生未遂事件，视情节轻重，追究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p>
        </w:tc>
        <w:tc>
          <w:tcPr>
            <w:tcW w:w="2126" w:type="dxa"/>
            <w:noWrap w:val="0"/>
            <w:vAlign w:val="center"/>
          </w:tcPr>
          <w:p w14:paraId="310994B3">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5000</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万元/次。</w:t>
            </w:r>
          </w:p>
        </w:tc>
      </w:tr>
      <w:tr w14:paraId="0077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7D780086">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3FEEED9D">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5.发生特大设备事故，追究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p>
        </w:tc>
        <w:tc>
          <w:tcPr>
            <w:tcW w:w="2126" w:type="dxa"/>
            <w:noWrap w:val="0"/>
            <w:vAlign w:val="center"/>
          </w:tcPr>
          <w:p w14:paraId="62A77C33">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按直接经济损失的</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w:t>
            </w:r>
          </w:p>
        </w:tc>
      </w:tr>
      <w:tr w14:paraId="3AE4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40F7BF14">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0BFF92AF">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6.发生重大设备事故，追究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p>
        </w:tc>
        <w:tc>
          <w:tcPr>
            <w:tcW w:w="2126" w:type="dxa"/>
            <w:noWrap w:val="0"/>
            <w:vAlign w:val="center"/>
          </w:tcPr>
          <w:p w14:paraId="3CF4CB53">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按直接经济损失的</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 。</w:t>
            </w:r>
          </w:p>
        </w:tc>
      </w:tr>
      <w:tr w14:paraId="139E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3292C8D8">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0B879DE1">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7.发生一般设备事故，追究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p>
        </w:tc>
        <w:tc>
          <w:tcPr>
            <w:tcW w:w="2126" w:type="dxa"/>
            <w:noWrap w:val="0"/>
            <w:vAlign w:val="center"/>
          </w:tcPr>
          <w:p w14:paraId="6025A8A2">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按直接经济损失的</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 。</w:t>
            </w:r>
          </w:p>
        </w:tc>
      </w:tr>
      <w:tr w14:paraId="5CDC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36" w:type="dxa"/>
            <w:vMerge w:val="continue"/>
            <w:noWrap w:val="0"/>
            <w:vAlign w:val="center"/>
          </w:tcPr>
          <w:p w14:paraId="739AC06F">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71D05CB2">
            <w:pPr>
              <w:spacing w:line="360" w:lineRule="exact"/>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8.施工期间发生一般火灾及以上事故，追究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r>
              <w:rPr>
                <w:rFonts w:hint="eastAsia" w:ascii="仿宋_GB2312" w:hAnsi="仿宋_GB2312" w:eastAsia="仿宋_GB2312" w:cs="仿宋_GB2312"/>
                <w:color w:val="auto"/>
                <w:sz w:val="28"/>
                <w:szCs w:val="28"/>
                <w:highlight w:val="none"/>
                <w:lang w:eastAsia="zh-CN"/>
              </w:rPr>
              <w:t>。</w:t>
            </w:r>
          </w:p>
        </w:tc>
        <w:tc>
          <w:tcPr>
            <w:tcW w:w="2126" w:type="dxa"/>
            <w:noWrap w:val="0"/>
            <w:vAlign w:val="center"/>
          </w:tcPr>
          <w:p w14:paraId="0AB3B8B1">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万元/次</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造成重大影响的加倍处罚</w:t>
            </w:r>
            <w:r>
              <w:rPr>
                <w:rFonts w:hint="eastAsia" w:ascii="仿宋_GB2312" w:hAnsi="仿宋_GB2312" w:eastAsia="仿宋_GB2312" w:cs="仿宋_GB2312"/>
                <w:color w:val="auto"/>
                <w:sz w:val="28"/>
                <w:szCs w:val="28"/>
                <w:highlight w:val="none"/>
              </w:rPr>
              <w:t>。</w:t>
            </w:r>
          </w:p>
        </w:tc>
      </w:tr>
      <w:tr w14:paraId="19FE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2F1E1112">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22DECD67">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9.发生环境污染与破坏事件或事故</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p>
        </w:tc>
        <w:tc>
          <w:tcPr>
            <w:tcW w:w="2126" w:type="dxa"/>
            <w:noWrap w:val="0"/>
            <w:vAlign w:val="center"/>
          </w:tcPr>
          <w:p w14:paraId="09DDEA04">
            <w:pPr>
              <w:keepNext w:val="0"/>
              <w:keepLines w:val="0"/>
              <w:widowControl/>
              <w:suppressLineNumbers w:val="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1万元/次</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造成生态损害的按相关法规追加处罚</w:t>
            </w:r>
            <w:r>
              <w:rPr>
                <w:rFonts w:hint="eastAsia" w:ascii="仿宋_GB2312" w:hAnsi="仿宋_GB2312" w:eastAsia="仿宋_GB2312" w:cs="仿宋_GB2312"/>
                <w:color w:val="auto"/>
                <w:sz w:val="28"/>
                <w:szCs w:val="28"/>
                <w:highlight w:val="none"/>
              </w:rPr>
              <w:t>。</w:t>
            </w:r>
          </w:p>
        </w:tc>
      </w:tr>
      <w:tr w14:paraId="4D191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551D78CA">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2B0DCA8C">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10.发生影响工程政治和形象的事件</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追究</w:t>
            </w:r>
            <w:r>
              <w:rPr>
                <w:rFonts w:hint="eastAsia" w:ascii="仿宋_GB2312" w:hAnsi="仿宋_GB2312" w:eastAsia="仿宋_GB2312" w:cs="仿宋_GB2312"/>
                <w:color w:val="auto"/>
                <w:sz w:val="28"/>
                <w:szCs w:val="28"/>
                <w:highlight w:val="none"/>
                <w:lang w:val="en-US" w:eastAsia="zh-CN"/>
              </w:rPr>
              <w:t>监理单位</w:t>
            </w:r>
            <w:r>
              <w:rPr>
                <w:rFonts w:hint="eastAsia" w:ascii="仿宋_GB2312" w:hAnsi="仿宋_GB2312" w:eastAsia="仿宋_GB2312" w:cs="仿宋_GB2312"/>
                <w:color w:val="auto"/>
                <w:sz w:val="28"/>
                <w:szCs w:val="28"/>
                <w:highlight w:val="none"/>
              </w:rPr>
              <w:t>的责任。</w:t>
            </w:r>
          </w:p>
        </w:tc>
        <w:tc>
          <w:tcPr>
            <w:tcW w:w="2126" w:type="dxa"/>
            <w:noWrap w:val="0"/>
            <w:vAlign w:val="center"/>
          </w:tcPr>
          <w:p w14:paraId="411BE8D8">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万元/次。</w:t>
            </w:r>
          </w:p>
        </w:tc>
      </w:tr>
      <w:tr w14:paraId="27F6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291EFBD5">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30FF1232">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w:t>
            </w:r>
            <w:r>
              <w:rPr>
                <w:rFonts w:hint="eastAsia" w:ascii="仿宋_GB2312" w:hAnsi="仿宋_GB2312" w:eastAsia="仿宋_GB2312" w:cs="仿宋_GB2312"/>
                <w:color w:val="auto"/>
                <w:sz w:val="28"/>
                <w:szCs w:val="28"/>
                <w:highlight w:val="none"/>
                <w:lang w:val="en-US" w:eastAsia="zh-CN"/>
              </w:rPr>
              <w:t>发生事故隐瞒、迟报、谎报或记录造假事件，追究监理单位的责任。</w:t>
            </w:r>
          </w:p>
        </w:tc>
        <w:tc>
          <w:tcPr>
            <w:tcW w:w="2126" w:type="dxa"/>
            <w:noWrap w:val="0"/>
            <w:vAlign w:val="center"/>
          </w:tcPr>
          <w:p w14:paraId="6CE6A8C3">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万元/次。</w:t>
            </w:r>
          </w:p>
        </w:tc>
      </w:tr>
      <w:tr w14:paraId="40A3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restart"/>
            <w:noWrap w:val="0"/>
            <w:vAlign w:val="center"/>
          </w:tcPr>
          <w:p w14:paraId="60AAC26E">
            <w:pPr>
              <w:spacing w:line="360" w:lineRule="exact"/>
              <w:jc w:val="center"/>
              <w:rPr>
                <w:rFonts w:hint="eastAsia" w:ascii="仿宋_GB2312" w:hAnsi="仿宋_GB2312" w:eastAsia="仿宋_GB2312" w:cs="仿宋_GB2312"/>
                <w:color w:val="auto"/>
                <w:sz w:val="28"/>
                <w:szCs w:val="28"/>
                <w:highlight w:val="none"/>
              </w:rPr>
            </w:pPr>
          </w:p>
          <w:p w14:paraId="5CD066EB">
            <w:pPr>
              <w:spacing w:line="360" w:lineRule="exact"/>
              <w:jc w:val="center"/>
              <w:rPr>
                <w:rFonts w:hint="eastAsia" w:ascii="仿宋_GB2312" w:hAnsi="仿宋_GB2312" w:eastAsia="仿宋_GB2312" w:cs="仿宋_GB2312"/>
                <w:color w:val="auto"/>
                <w:sz w:val="28"/>
                <w:szCs w:val="28"/>
                <w:highlight w:val="none"/>
              </w:rPr>
            </w:pPr>
          </w:p>
          <w:p w14:paraId="58FF9303">
            <w:pPr>
              <w:spacing w:line="360" w:lineRule="exact"/>
              <w:jc w:val="center"/>
              <w:rPr>
                <w:rFonts w:hint="eastAsia" w:ascii="仿宋_GB2312" w:hAnsi="仿宋_GB2312" w:eastAsia="仿宋_GB2312" w:cs="仿宋_GB2312"/>
                <w:color w:val="auto"/>
                <w:sz w:val="28"/>
                <w:szCs w:val="28"/>
                <w:highlight w:val="none"/>
              </w:rPr>
            </w:pPr>
          </w:p>
          <w:p w14:paraId="2B594B76">
            <w:pPr>
              <w:spacing w:line="360" w:lineRule="exact"/>
              <w:jc w:val="center"/>
              <w:rPr>
                <w:rFonts w:hint="eastAsia" w:ascii="仿宋_GB2312" w:hAnsi="仿宋_GB2312" w:eastAsia="仿宋_GB2312" w:cs="仿宋_GB2312"/>
                <w:color w:val="auto"/>
                <w:sz w:val="28"/>
                <w:szCs w:val="28"/>
                <w:highlight w:val="none"/>
              </w:rPr>
            </w:pPr>
          </w:p>
          <w:p w14:paraId="3D2EBCAC">
            <w:pPr>
              <w:spacing w:line="360" w:lineRule="exact"/>
              <w:jc w:val="center"/>
              <w:rPr>
                <w:rFonts w:hint="eastAsia" w:ascii="仿宋_GB2312" w:hAnsi="仿宋_GB2312" w:eastAsia="仿宋_GB2312" w:cs="仿宋_GB2312"/>
                <w:color w:val="auto"/>
                <w:sz w:val="28"/>
                <w:szCs w:val="28"/>
                <w:highlight w:val="none"/>
              </w:rPr>
            </w:pPr>
          </w:p>
          <w:p w14:paraId="44DB13D6">
            <w:pPr>
              <w:spacing w:line="360" w:lineRule="exact"/>
              <w:jc w:val="center"/>
              <w:rPr>
                <w:rFonts w:hint="eastAsia" w:ascii="仿宋_GB2312" w:hAnsi="仿宋_GB2312" w:eastAsia="仿宋_GB2312" w:cs="仿宋_GB2312"/>
                <w:color w:val="auto"/>
                <w:sz w:val="28"/>
                <w:szCs w:val="28"/>
                <w:highlight w:val="none"/>
              </w:rPr>
            </w:pPr>
          </w:p>
          <w:p w14:paraId="0F3DF34F">
            <w:pPr>
              <w:spacing w:line="360" w:lineRule="exact"/>
              <w:jc w:val="center"/>
              <w:rPr>
                <w:rFonts w:hint="eastAsia" w:ascii="仿宋_GB2312" w:hAnsi="仿宋_GB2312" w:eastAsia="仿宋_GB2312" w:cs="仿宋_GB2312"/>
                <w:color w:val="auto"/>
                <w:sz w:val="28"/>
                <w:szCs w:val="28"/>
                <w:highlight w:val="none"/>
              </w:rPr>
            </w:pPr>
          </w:p>
          <w:p w14:paraId="4A8C86B6">
            <w:pPr>
              <w:spacing w:line="360" w:lineRule="exact"/>
              <w:jc w:val="center"/>
              <w:rPr>
                <w:rFonts w:hint="eastAsia" w:ascii="仿宋_GB2312" w:hAnsi="仿宋_GB2312" w:eastAsia="仿宋_GB2312" w:cs="仿宋_GB2312"/>
                <w:color w:val="auto"/>
                <w:sz w:val="28"/>
                <w:szCs w:val="28"/>
                <w:highlight w:val="none"/>
              </w:rPr>
            </w:pPr>
          </w:p>
          <w:p w14:paraId="1744DD34">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（二）、安全管理</w:t>
            </w:r>
          </w:p>
        </w:tc>
        <w:tc>
          <w:tcPr>
            <w:tcW w:w="5778" w:type="dxa"/>
            <w:noWrap w:val="0"/>
            <w:vAlign w:val="center"/>
          </w:tcPr>
          <w:p w14:paraId="57BC59F0">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.监理单位未分解基建工程安全目标。</w:t>
            </w:r>
          </w:p>
        </w:tc>
        <w:tc>
          <w:tcPr>
            <w:tcW w:w="2126" w:type="dxa"/>
            <w:noWrap w:val="0"/>
            <w:vAlign w:val="center"/>
          </w:tcPr>
          <w:p w14:paraId="6A1ACE7F">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万元/次。</w:t>
            </w:r>
          </w:p>
        </w:tc>
      </w:tr>
      <w:tr w14:paraId="4D8C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492483BE">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62BE39BA">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13</w:t>
            </w:r>
            <w:r>
              <w:rPr>
                <w:rFonts w:hint="eastAsia" w:ascii="仿宋_GB2312" w:hAnsi="仿宋_GB2312" w:eastAsia="仿宋_GB2312" w:cs="仿宋_GB2312"/>
                <w:color w:val="auto"/>
                <w:sz w:val="28"/>
                <w:szCs w:val="28"/>
                <w:highlight w:val="none"/>
              </w:rPr>
              <w:t>.监理单位未按时参加业主组织的各种安全工作例会、安全检查等安全活动</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无故缺席或委派非相关人员参会。</w:t>
            </w:r>
          </w:p>
        </w:tc>
        <w:tc>
          <w:tcPr>
            <w:tcW w:w="2126" w:type="dxa"/>
            <w:noWrap w:val="0"/>
            <w:vAlign w:val="center"/>
          </w:tcPr>
          <w:p w14:paraId="62B44332">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1000-5000元/次。</w:t>
            </w:r>
          </w:p>
        </w:tc>
      </w:tr>
      <w:tr w14:paraId="5471C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3906604B">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1A07E643">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14</w:t>
            </w:r>
            <w:r>
              <w:rPr>
                <w:rFonts w:hint="eastAsia" w:ascii="仿宋_GB2312" w:hAnsi="仿宋_GB2312" w:eastAsia="仿宋_GB2312" w:cs="仿宋_GB2312"/>
                <w:color w:val="auto"/>
                <w:sz w:val="28"/>
                <w:szCs w:val="28"/>
                <w:highlight w:val="none"/>
              </w:rPr>
              <w:t>.监理单位未按规定时间上报安全检查通报、安全周报、安全月报及其他要求汇报的安全材料</w:t>
            </w:r>
            <w:r>
              <w:rPr>
                <w:rFonts w:hint="eastAsia" w:ascii="仿宋_GB2312" w:hAnsi="仿宋_GB2312" w:eastAsia="仿宋_GB2312" w:cs="仿宋_GB2312"/>
                <w:color w:val="auto"/>
                <w:sz w:val="28"/>
                <w:szCs w:val="28"/>
                <w:highlight w:val="none"/>
                <w:lang w:eastAsia="zh-CN"/>
              </w:rPr>
              <w:t>，或</w:t>
            </w:r>
            <w:r>
              <w:rPr>
                <w:rFonts w:hint="eastAsia" w:ascii="仿宋_GB2312" w:hAnsi="仿宋_GB2312" w:eastAsia="仿宋_GB2312" w:cs="仿宋_GB2312"/>
                <w:color w:val="auto"/>
                <w:sz w:val="28"/>
                <w:szCs w:val="28"/>
                <w:highlight w:val="none"/>
                <w:lang w:val="en-US" w:eastAsia="zh-CN"/>
              </w:rPr>
              <w:t>材料内容虚假、不完整。</w:t>
            </w:r>
          </w:p>
        </w:tc>
        <w:tc>
          <w:tcPr>
            <w:tcW w:w="2126" w:type="dxa"/>
            <w:noWrap w:val="0"/>
            <w:vAlign w:val="center"/>
          </w:tcPr>
          <w:p w14:paraId="5B1EF8F9">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1000-</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000元/次。</w:t>
            </w:r>
          </w:p>
        </w:tc>
      </w:tr>
      <w:tr w14:paraId="366B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45C00C52">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70B6D157">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15</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监理单位未建立大型施工设备（含起重机械、特种设备、压力容器等）现场准入及全过程管理制度。</w:t>
            </w:r>
          </w:p>
        </w:tc>
        <w:tc>
          <w:tcPr>
            <w:tcW w:w="2126" w:type="dxa"/>
            <w:noWrap w:val="0"/>
            <w:vAlign w:val="center"/>
          </w:tcPr>
          <w:p w14:paraId="3D2FCC0E">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2万元/次。</w:t>
            </w:r>
          </w:p>
        </w:tc>
      </w:tr>
      <w:tr w14:paraId="584B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2B352A5C">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3506C064">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16</w:t>
            </w:r>
            <w:r>
              <w:rPr>
                <w:rFonts w:hint="eastAsia" w:ascii="仿宋_GB2312" w:hAnsi="仿宋_GB2312" w:eastAsia="仿宋_GB2312" w:cs="仿宋_GB2312"/>
                <w:color w:val="auto"/>
                <w:sz w:val="28"/>
                <w:szCs w:val="28"/>
                <w:highlight w:val="none"/>
              </w:rPr>
              <w:t>.监理单位未设专人履行对施工设备的监督责任</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监督记录缺失或不规范。</w:t>
            </w:r>
          </w:p>
        </w:tc>
        <w:tc>
          <w:tcPr>
            <w:tcW w:w="2126" w:type="dxa"/>
            <w:noWrap w:val="0"/>
            <w:vAlign w:val="center"/>
          </w:tcPr>
          <w:p w14:paraId="3B2BAB3F">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1万元/次。</w:t>
            </w:r>
          </w:p>
        </w:tc>
      </w:tr>
      <w:tr w14:paraId="232D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0F817656">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2D3B359F">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17</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监理单位未对进场的施工设备、特种设备进行全面验证（含设备合格证、检测报告、维护记录等）；验证流于形式。</w:t>
            </w:r>
          </w:p>
        </w:tc>
        <w:tc>
          <w:tcPr>
            <w:tcW w:w="2126" w:type="dxa"/>
            <w:noWrap w:val="0"/>
            <w:vAlign w:val="center"/>
          </w:tcPr>
          <w:p w14:paraId="6232A8E3">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1万元/次。</w:t>
            </w:r>
          </w:p>
        </w:tc>
      </w:tr>
      <w:tr w14:paraId="5BC0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7DEB81DB">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1B94BA5B">
            <w:pPr>
              <w:keepNext w:val="0"/>
              <w:keepLines w:val="0"/>
              <w:widowControl/>
              <w:suppressLineNumbers w:val="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18监理单位未对特种设备操作人员、特种作业人员持证情况进行逐人验证并留存完整记录；允许无证人员上岗。</w:t>
            </w:r>
          </w:p>
        </w:tc>
        <w:tc>
          <w:tcPr>
            <w:tcW w:w="2126" w:type="dxa"/>
            <w:noWrap w:val="0"/>
            <w:vAlign w:val="center"/>
          </w:tcPr>
          <w:p w14:paraId="4A04AD5C">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万元/次。</w:t>
            </w:r>
          </w:p>
        </w:tc>
      </w:tr>
      <w:tr w14:paraId="6BAF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641608D3">
            <w:pPr>
              <w:spacing w:line="360" w:lineRule="exact"/>
              <w:rPr>
                <w:rFonts w:hint="eastAsia" w:ascii="仿宋_GB2312" w:hAnsi="仿宋_GB2312" w:eastAsia="仿宋_GB2312" w:cs="仿宋_GB2312"/>
                <w:color w:val="auto"/>
                <w:sz w:val="28"/>
                <w:szCs w:val="28"/>
                <w:highlight w:val="none"/>
              </w:rPr>
            </w:pPr>
          </w:p>
        </w:tc>
        <w:tc>
          <w:tcPr>
            <w:tcW w:w="5778" w:type="dxa"/>
            <w:noWrap w:val="0"/>
            <w:vAlign w:val="center"/>
          </w:tcPr>
          <w:p w14:paraId="41A13B44">
            <w:pPr>
              <w:spacing w:line="36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19</w:t>
            </w:r>
            <w:r>
              <w:rPr>
                <w:rFonts w:hint="eastAsia" w:ascii="仿宋_GB2312" w:hAnsi="仿宋_GB2312" w:eastAsia="仿宋_GB2312" w:cs="仿宋_GB2312"/>
                <w:color w:val="auto"/>
                <w:sz w:val="28"/>
                <w:szCs w:val="28"/>
                <w:highlight w:val="none"/>
              </w:rPr>
              <w:t>.监理单位未建立人员或施工设备机械台帐及管理档案或档案资料不完整或与实际情况不符。</w:t>
            </w:r>
          </w:p>
        </w:tc>
        <w:tc>
          <w:tcPr>
            <w:tcW w:w="2126" w:type="dxa"/>
            <w:noWrap w:val="0"/>
            <w:vAlign w:val="center"/>
          </w:tcPr>
          <w:p w14:paraId="1A1205BC">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2000元-1万元/次。</w:t>
            </w:r>
          </w:p>
        </w:tc>
      </w:tr>
      <w:tr w14:paraId="125E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5938CBCC">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0DF2057B">
            <w:pPr>
              <w:keepNext w:val="0"/>
              <w:keepLines w:val="0"/>
              <w:widowControl/>
              <w:suppressLineNumbers w:val="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rPr>
              <w:t>.监理单位未对特种设备安装、拆除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顶升等</w:t>
            </w:r>
            <w:r>
              <w:rPr>
                <w:rFonts w:hint="eastAsia" w:ascii="仿宋_GB2312" w:hAnsi="仿宋_GB2312" w:eastAsia="仿宋_GB2312" w:cs="仿宋_GB2312"/>
                <w:color w:val="auto"/>
                <w:sz w:val="28"/>
                <w:szCs w:val="28"/>
                <w:highlight w:val="none"/>
              </w:rPr>
              <w:t>关键工序进行安全监督或大型施工设备关键工序进行旁站监督。</w:t>
            </w:r>
          </w:p>
        </w:tc>
        <w:tc>
          <w:tcPr>
            <w:tcW w:w="2126" w:type="dxa"/>
            <w:noWrap w:val="0"/>
            <w:vAlign w:val="center"/>
          </w:tcPr>
          <w:p w14:paraId="27C6F73B">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1万元/次。</w:t>
            </w:r>
          </w:p>
        </w:tc>
      </w:tr>
      <w:tr w14:paraId="3E53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02504943">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74D435AB">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21</w:t>
            </w:r>
            <w:r>
              <w:rPr>
                <w:rFonts w:hint="eastAsia" w:ascii="仿宋_GB2312" w:hAnsi="仿宋_GB2312" w:eastAsia="仿宋_GB2312" w:cs="仿宋_GB2312"/>
                <w:color w:val="auto"/>
                <w:sz w:val="28"/>
                <w:szCs w:val="28"/>
                <w:highlight w:val="none"/>
              </w:rPr>
              <w:t>.对电厂“安全整改通知单”必须认真整改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回复，</w:t>
            </w:r>
            <w:r>
              <w:rPr>
                <w:rFonts w:hint="eastAsia" w:ascii="仿宋_GB2312" w:hAnsi="仿宋_GB2312" w:eastAsia="仿宋_GB2312" w:cs="仿宋_GB2312"/>
                <w:color w:val="auto"/>
                <w:sz w:val="28"/>
                <w:szCs w:val="28"/>
                <w:highlight w:val="none"/>
                <w:lang w:val="en-US" w:eastAsia="zh-CN"/>
              </w:rPr>
              <w:t>整改不彻底或复查不合格。</w:t>
            </w:r>
          </w:p>
        </w:tc>
        <w:tc>
          <w:tcPr>
            <w:tcW w:w="2126" w:type="dxa"/>
            <w:noWrap w:val="0"/>
            <w:vAlign w:val="center"/>
          </w:tcPr>
          <w:p w14:paraId="78BB22E2">
            <w:pPr>
              <w:spacing w:line="360" w:lineRule="exact"/>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2000元-5万元/次</w:t>
            </w:r>
            <w:r>
              <w:rPr>
                <w:rFonts w:hint="eastAsia" w:ascii="仿宋_GB2312" w:hAnsi="仿宋_GB2312" w:eastAsia="仿宋_GB2312" w:cs="仿宋_GB2312"/>
                <w:color w:val="auto"/>
                <w:sz w:val="28"/>
                <w:szCs w:val="28"/>
                <w:highlight w:val="none"/>
                <w:lang w:eastAsia="zh-CN"/>
              </w:rPr>
              <w:t>。</w:t>
            </w:r>
          </w:p>
        </w:tc>
      </w:tr>
      <w:tr w14:paraId="06735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36" w:type="dxa"/>
            <w:vMerge w:val="continue"/>
            <w:noWrap w:val="0"/>
            <w:vAlign w:val="center"/>
          </w:tcPr>
          <w:p w14:paraId="2DC51A11">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5DB73D78">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22</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监理单位未动态核查进场分包商的资质、人员持证、机具配备、技术管理等施工能力；允许不合格分包商进场施工。</w:t>
            </w:r>
          </w:p>
        </w:tc>
        <w:tc>
          <w:tcPr>
            <w:tcW w:w="2126" w:type="dxa"/>
            <w:noWrap w:val="0"/>
            <w:vAlign w:val="center"/>
          </w:tcPr>
          <w:p w14:paraId="5BB8B7B9">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万元/次。</w:t>
            </w:r>
          </w:p>
        </w:tc>
      </w:tr>
      <w:tr w14:paraId="7A9C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3D389192">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0B20B3AC">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23.监理单位未审查交叉作业、高空作业、动火作业、有限空间作业等高危作业的安全技术措施；未进行现场巡视监督或未制止违规作业。</w:t>
            </w:r>
          </w:p>
        </w:tc>
        <w:tc>
          <w:tcPr>
            <w:tcW w:w="2126" w:type="dxa"/>
            <w:noWrap w:val="0"/>
            <w:vAlign w:val="center"/>
          </w:tcPr>
          <w:p w14:paraId="139336C7">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2000元-1万元/次。</w:t>
            </w:r>
          </w:p>
        </w:tc>
      </w:tr>
      <w:tr w14:paraId="019C4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193A49C2">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0462BCEA">
            <w:pPr>
              <w:spacing w:line="360" w:lineRule="exact"/>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24.监理单位未对危险性较大的分部分项工程专项施工方案的安全技术措施进行独立审查并签署明确意见的。</w:t>
            </w:r>
          </w:p>
        </w:tc>
        <w:tc>
          <w:tcPr>
            <w:tcW w:w="2126" w:type="dxa"/>
            <w:noWrap w:val="0"/>
            <w:vAlign w:val="center"/>
          </w:tcPr>
          <w:p w14:paraId="70FF8978">
            <w:pPr>
              <w:spacing w:line="360" w:lineRule="exact"/>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2000元-5万元/次</w:t>
            </w:r>
            <w:r>
              <w:rPr>
                <w:rFonts w:hint="eastAsia" w:ascii="仿宋_GB2312" w:hAnsi="仿宋_GB2312" w:eastAsia="仿宋_GB2312" w:cs="仿宋_GB2312"/>
                <w:color w:val="auto"/>
                <w:sz w:val="28"/>
                <w:szCs w:val="28"/>
                <w:highlight w:val="none"/>
                <w:lang w:eastAsia="zh-CN"/>
              </w:rPr>
              <w:t>。</w:t>
            </w:r>
          </w:p>
        </w:tc>
      </w:tr>
      <w:tr w14:paraId="62EE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4D85D530">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500403FD">
            <w:pPr>
              <w:spacing w:line="360" w:lineRule="exact"/>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25.监理单位未对危险性较大的分部分项工程施工进行现场巡视监督或未制止违规作业，并如实记录。</w:t>
            </w:r>
          </w:p>
        </w:tc>
        <w:tc>
          <w:tcPr>
            <w:tcW w:w="2126" w:type="dxa"/>
            <w:noWrap w:val="0"/>
            <w:vAlign w:val="center"/>
          </w:tcPr>
          <w:p w14:paraId="4DF03D13">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2000元-1万元/次。</w:t>
            </w:r>
          </w:p>
        </w:tc>
      </w:tr>
      <w:tr w14:paraId="4E3E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2EEA470D">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7F06241F">
            <w:pPr>
              <w:spacing w:line="360" w:lineRule="exact"/>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25.未建立重大风险源辨识、登记、监控机制；未对重大风险源施工过程进行专项监理。</w:t>
            </w:r>
          </w:p>
        </w:tc>
        <w:tc>
          <w:tcPr>
            <w:tcW w:w="2126" w:type="dxa"/>
            <w:noWrap w:val="0"/>
            <w:vAlign w:val="center"/>
          </w:tcPr>
          <w:p w14:paraId="5F580960">
            <w:pPr>
              <w:spacing w:line="360" w:lineRule="exact"/>
              <w:jc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2000元-1万元/次</w:t>
            </w:r>
            <w:r>
              <w:rPr>
                <w:rFonts w:hint="eastAsia" w:ascii="仿宋_GB2312" w:hAnsi="仿宋_GB2312" w:eastAsia="仿宋_GB2312" w:cs="仿宋_GB2312"/>
                <w:color w:val="auto"/>
                <w:sz w:val="28"/>
                <w:szCs w:val="28"/>
                <w:highlight w:val="none"/>
                <w:lang w:eastAsia="zh-CN"/>
              </w:rPr>
              <w:t>。</w:t>
            </w:r>
          </w:p>
        </w:tc>
      </w:tr>
      <w:tr w14:paraId="3A57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1C2A9C32">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69850F3B">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26.未组织或参与施工单位应急预案评审及联合演练，或未对演练效果进行评估整改，追究监理单位的责任。</w:t>
            </w:r>
          </w:p>
        </w:tc>
        <w:tc>
          <w:tcPr>
            <w:tcW w:w="2126" w:type="dxa"/>
            <w:noWrap w:val="0"/>
            <w:vAlign w:val="center"/>
          </w:tcPr>
          <w:p w14:paraId="1A9B0FF4">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000元-5000元/次。</w:t>
            </w:r>
          </w:p>
        </w:tc>
      </w:tr>
      <w:tr w14:paraId="4C820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vMerge w:val="continue"/>
            <w:noWrap w:val="0"/>
            <w:vAlign w:val="center"/>
          </w:tcPr>
          <w:p w14:paraId="5A95A1B9">
            <w:pPr>
              <w:spacing w:line="360" w:lineRule="exact"/>
              <w:rPr>
                <w:rFonts w:hint="eastAsia" w:ascii="仿宋_GB2312" w:hAnsi="仿宋_GB2312" w:eastAsia="仿宋_GB2312" w:cs="仿宋_GB2312"/>
                <w:b/>
                <w:color w:val="auto"/>
                <w:sz w:val="28"/>
                <w:szCs w:val="28"/>
                <w:highlight w:val="none"/>
              </w:rPr>
            </w:pPr>
          </w:p>
        </w:tc>
        <w:tc>
          <w:tcPr>
            <w:tcW w:w="5778" w:type="dxa"/>
            <w:noWrap w:val="0"/>
            <w:vAlign w:val="center"/>
          </w:tcPr>
          <w:p w14:paraId="5073C997">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27.未对施工单位安全培训计划落实情况进行核查，或允许未培训、培训不合格人员上岗，追究监理单位的责任。</w:t>
            </w:r>
          </w:p>
        </w:tc>
        <w:tc>
          <w:tcPr>
            <w:tcW w:w="2126" w:type="dxa"/>
            <w:noWrap w:val="0"/>
            <w:vAlign w:val="center"/>
          </w:tcPr>
          <w:p w14:paraId="194AE204">
            <w:pPr>
              <w:spacing w:line="360" w:lineRule="exact"/>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2000元-1万元/次</w:t>
            </w:r>
            <w:r>
              <w:rPr>
                <w:rFonts w:hint="eastAsia" w:ascii="仿宋_GB2312" w:hAnsi="仿宋_GB2312" w:eastAsia="仿宋_GB2312" w:cs="仿宋_GB2312"/>
                <w:color w:val="auto"/>
                <w:sz w:val="28"/>
                <w:szCs w:val="28"/>
                <w:highlight w:val="none"/>
                <w:lang w:eastAsia="zh-CN"/>
              </w:rPr>
              <w:t>。</w:t>
            </w:r>
          </w:p>
        </w:tc>
      </w:tr>
      <w:tr w14:paraId="6DD3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736" w:type="dxa"/>
            <w:vMerge w:val="restart"/>
            <w:noWrap w:val="0"/>
            <w:vAlign w:val="center"/>
          </w:tcPr>
          <w:p w14:paraId="5335EFEF">
            <w:pPr>
              <w:spacing w:line="360" w:lineRule="exact"/>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）、其他</w:t>
            </w:r>
          </w:p>
        </w:tc>
        <w:tc>
          <w:tcPr>
            <w:tcW w:w="5778" w:type="dxa"/>
            <w:noWrap w:val="0"/>
            <w:vAlign w:val="center"/>
          </w:tcPr>
          <w:p w14:paraId="0A5D1F40">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28</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总承包单位、施工单位出现各类违章作业、违章指挥、违反劳动纪律行为，监理单位未及时发现或发现后未制止、未上报。</w:t>
            </w:r>
          </w:p>
        </w:tc>
        <w:tc>
          <w:tcPr>
            <w:tcW w:w="2126" w:type="dxa"/>
            <w:noWrap w:val="0"/>
            <w:vAlign w:val="center"/>
          </w:tcPr>
          <w:p w14:paraId="7A528D18">
            <w:pPr>
              <w:spacing w:line="360" w:lineRule="exact"/>
              <w:jc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000元-1万元/次</w:t>
            </w:r>
            <w:r>
              <w:rPr>
                <w:rFonts w:hint="eastAsia" w:ascii="仿宋_GB2312" w:hAnsi="仿宋_GB2312" w:eastAsia="仿宋_GB2312" w:cs="仿宋_GB2312"/>
                <w:color w:val="auto"/>
                <w:sz w:val="28"/>
                <w:szCs w:val="28"/>
                <w:highlight w:val="none"/>
                <w:lang w:eastAsia="zh-CN"/>
              </w:rPr>
              <w:t>。</w:t>
            </w:r>
          </w:p>
        </w:tc>
      </w:tr>
      <w:tr w14:paraId="560C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736" w:type="dxa"/>
            <w:vMerge w:val="continue"/>
            <w:noWrap w:val="0"/>
            <w:vAlign w:val="center"/>
          </w:tcPr>
          <w:p w14:paraId="44999162">
            <w:pPr>
              <w:spacing w:line="360" w:lineRule="exact"/>
              <w:jc w:val="center"/>
              <w:rPr>
                <w:rFonts w:hint="eastAsia" w:ascii="仿宋_GB2312" w:hAnsi="仿宋_GB2312" w:eastAsia="仿宋_GB2312" w:cs="仿宋_GB2312"/>
                <w:color w:val="auto"/>
                <w:sz w:val="28"/>
                <w:szCs w:val="28"/>
                <w:highlight w:val="none"/>
              </w:rPr>
            </w:pPr>
          </w:p>
        </w:tc>
        <w:tc>
          <w:tcPr>
            <w:tcW w:w="5778" w:type="dxa"/>
            <w:noWrap w:val="0"/>
            <w:vAlign w:val="center"/>
          </w:tcPr>
          <w:p w14:paraId="2B433CF0">
            <w:pPr>
              <w:keepNext w:val="0"/>
              <w:keepLines w:val="0"/>
              <w:widowControl/>
              <w:suppressLineNumbers w:val="0"/>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29.监理单位自身人员出现安全违章行为；未落实自身安全管理责任。</w:t>
            </w:r>
          </w:p>
        </w:tc>
        <w:tc>
          <w:tcPr>
            <w:tcW w:w="2126" w:type="dxa"/>
            <w:noWrap w:val="0"/>
            <w:vAlign w:val="center"/>
          </w:tcPr>
          <w:p w14:paraId="42496875">
            <w:pPr>
              <w:spacing w:line="360" w:lineRule="exact"/>
              <w:jc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1000元/次。</w:t>
            </w:r>
          </w:p>
        </w:tc>
      </w:tr>
    </w:tbl>
    <w:p w14:paraId="3BD61DB1">
      <w:pPr>
        <w:widowControl w:val="0"/>
        <w:snapToGrid w:val="0"/>
        <w:spacing w:line="440" w:lineRule="exact"/>
        <w:jc w:val="both"/>
        <w:rPr>
          <w:rFonts w:hint="eastAsia" w:ascii="仿宋_GB2312" w:hAnsi="仿宋_GB2312" w:eastAsia="仿宋_GB2312" w:cs="仿宋_GB2312"/>
          <w:b/>
          <w:color w:val="auto"/>
          <w:kern w:val="2"/>
          <w:sz w:val="28"/>
          <w:szCs w:val="28"/>
          <w:highlight w:val="none"/>
          <w:lang w:val="en-US" w:eastAsia="zh-CN" w:bidi="he-IL"/>
        </w:rPr>
      </w:pPr>
    </w:p>
    <w:p w14:paraId="19AFB4A8">
      <w:pPr>
        <w:widowControl w:val="0"/>
        <w:snapToGrid w:val="0"/>
        <w:spacing w:line="440" w:lineRule="exact"/>
        <w:ind w:firstLine="0" w:firstLineChars="0"/>
        <w:jc w:val="both"/>
        <w:rPr>
          <w:rFonts w:hint="eastAsia" w:ascii="仿宋_GB2312" w:hAnsi="仿宋_GB2312" w:eastAsia="仿宋_GB2312" w:cs="仿宋_GB2312"/>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he-IL"/>
        </w:rPr>
        <w:t>2.2质量考核</w:t>
      </w:r>
    </w:p>
    <w:tbl>
      <w:tblPr>
        <w:tblStyle w:val="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6237"/>
        <w:gridCol w:w="2126"/>
      </w:tblGrid>
      <w:tr w14:paraId="73C40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203FA720">
            <w:pPr>
              <w:spacing w:line="276"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序号</w:t>
            </w:r>
          </w:p>
        </w:tc>
        <w:tc>
          <w:tcPr>
            <w:tcW w:w="6237" w:type="dxa"/>
            <w:noWrap w:val="0"/>
            <w:vAlign w:val="center"/>
          </w:tcPr>
          <w:p w14:paraId="6581DCFB">
            <w:pPr>
              <w:spacing w:line="276"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考核内容</w:t>
            </w:r>
          </w:p>
        </w:tc>
        <w:tc>
          <w:tcPr>
            <w:tcW w:w="2126" w:type="dxa"/>
            <w:noWrap w:val="0"/>
            <w:vAlign w:val="center"/>
          </w:tcPr>
          <w:p w14:paraId="446403A4">
            <w:pPr>
              <w:spacing w:line="276"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考核标准</w:t>
            </w:r>
          </w:p>
        </w:tc>
      </w:tr>
      <w:tr w14:paraId="2E2F3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E22BD11">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2.1</w:t>
            </w:r>
          </w:p>
        </w:tc>
        <w:tc>
          <w:tcPr>
            <w:tcW w:w="6237" w:type="dxa"/>
            <w:noWrap w:val="0"/>
            <w:vAlign w:val="top"/>
          </w:tcPr>
          <w:p w14:paraId="5E430228">
            <w:pPr>
              <w:autoSpaceDE w:val="0"/>
              <w:autoSpaceDN w:val="0"/>
              <w:adjustRightInd w:val="0"/>
              <w:spacing w:line="276" w:lineRule="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发生一般、较大、重大和特别重大质量事故，</w:t>
            </w:r>
            <w:r>
              <w:rPr>
                <w:rFonts w:hint="eastAsia" w:ascii="仿宋_GB2312" w:hAnsi="仿宋_GB2312" w:eastAsia="仿宋_GB2312" w:cs="仿宋_GB2312"/>
                <w:color w:val="auto"/>
                <w:sz w:val="28"/>
                <w:szCs w:val="28"/>
                <w:highlight w:val="none"/>
                <w:lang w:val="en-US" w:eastAsia="zh-CN"/>
              </w:rPr>
              <w:t>追究监理单位责任</w:t>
            </w:r>
            <w:r>
              <w:rPr>
                <w:rFonts w:hint="eastAsia" w:ascii="仿宋_GB2312" w:hAnsi="仿宋_GB2312" w:eastAsia="仿宋_GB2312" w:cs="仿宋_GB2312"/>
                <w:bCs/>
                <w:color w:val="auto"/>
                <w:sz w:val="28"/>
                <w:szCs w:val="28"/>
                <w:highlight w:val="none"/>
              </w:rPr>
              <w:t>。</w:t>
            </w:r>
          </w:p>
        </w:tc>
        <w:tc>
          <w:tcPr>
            <w:tcW w:w="2126" w:type="dxa"/>
            <w:noWrap w:val="0"/>
            <w:vAlign w:val="top"/>
          </w:tcPr>
          <w:p w14:paraId="6E589185">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按直接经济损失的2%处罚</w:t>
            </w:r>
          </w:p>
        </w:tc>
      </w:tr>
      <w:tr w14:paraId="04AA7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47EA88B">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2.2</w:t>
            </w:r>
          </w:p>
        </w:tc>
        <w:tc>
          <w:tcPr>
            <w:tcW w:w="6237" w:type="dxa"/>
            <w:noWrap w:val="0"/>
            <w:vAlign w:val="top"/>
          </w:tcPr>
          <w:p w14:paraId="041C2EC5">
            <w:pPr>
              <w:autoSpaceDE w:val="0"/>
              <w:autoSpaceDN w:val="0"/>
              <w:adjustRightInd w:val="0"/>
              <w:spacing w:line="276" w:lineRule="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rPr>
              <w:t>发生重大质量问题时，</w:t>
            </w:r>
            <w:r>
              <w:rPr>
                <w:rFonts w:hint="eastAsia" w:ascii="仿宋_GB2312" w:hAnsi="仿宋_GB2312" w:eastAsia="仿宋_GB2312" w:cs="仿宋_GB2312"/>
                <w:color w:val="auto"/>
                <w:sz w:val="28"/>
                <w:szCs w:val="28"/>
                <w:highlight w:val="none"/>
                <w:lang w:val="en-US" w:eastAsia="zh-CN"/>
              </w:rPr>
              <w:t>追究监理单位责任</w:t>
            </w:r>
            <w:r>
              <w:rPr>
                <w:rFonts w:hint="eastAsia" w:ascii="仿宋_GB2312" w:hAnsi="仿宋_GB2312" w:eastAsia="仿宋_GB2312" w:cs="仿宋_GB2312"/>
                <w:bCs/>
                <w:color w:val="auto"/>
                <w:sz w:val="28"/>
                <w:szCs w:val="28"/>
                <w:highlight w:val="none"/>
              </w:rPr>
              <w:t>。</w:t>
            </w:r>
          </w:p>
        </w:tc>
        <w:tc>
          <w:tcPr>
            <w:tcW w:w="2126" w:type="dxa"/>
            <w:noWrap w:val="0"/>
            <w:vAlign w:val="top"/>
          </w:tcPr>
          <w:p w14:paraId="6D0A56D0">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1-</w:t>
            </w:r>
            <w:r>
              <w:rPr>
                <w:rFonts w:hint="eastAsia" w:ascii="仿宋_GB2312" w:hAnsi="仿宋_GB2312" w:eastAsia="仿宋_GB2312" w:cs="仿宋_GB2312"/>
                <w:bCs/>
                <w:color w:val="auto"/>
                <w:sz w:val="28"/>
                <w:szCs w:val="28"/>
                <w:highlight w:val="none"/>
                <w:lang w:val="en-US" w:eastAsia="zh-CN"/>
              </w:rPr>
              <w:t>10</w:t>
            </w:r>
            <w:r>
              <w:rPr>
                <w:rFonts w:hint="eastAsia" w:ascii="仿宋_GB2312" w:hAnsi="仿宋_GB2312" w:eastAsia="仿宋_GB2312" w:cs="仿宋_GB2312"/>
                <w:bCs/>
                <w:color w:val="auto"/>
                <w:sz w:val="28"/>
                <w:szCs w:val="28"/>
                <w:highlight w:val="none"/>
              </w:rPr>
              <w:t>万元</w:t>
            </w:r>
          </w:p>
        </w:tc>
      </w:tr>
      <w:tr w14:paraId="5CE9E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90EB58B">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2.3</w:t>
            </w:r>
          </w:p>
        </w:tc>
        <w:tc>
          <w:tcPr>
            <w:tcW w:w="6237" w:type="dxa"/>
            <w:noWrap w:val="0"/>
            <w:vAlign w:val="top"/>
          </w:tcPr>
          <w:p w14:paraId="7CD67782">
            <w:pPr>
              <w:autoSpaceDE w:val="0"/>
              <w:autoSpaceDN w:val="0"/>
              <w:adjustRightInd w:val="0"/>
              <w:spacing w:line="276" w:lineRule="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rPr>
              <w:t>发生较大质量问题时，</w:t>
            </w:r>
            <w:r>
              <w:rPr>
                <w:rFonts w:hint="eastAsia" w:ascii="仿宋_GB2312" w:hAnsi="仿宋_GB2312" w:eastAsia="仿宋_GB2312" w:cs="仿宋_GB2312"/>
                <w:color w:val="auto"/>
                <w:sz w:val="28"/>
                <w:szCs w:val="28"/>
                <w:highlight w:val="none"/>
                <w:lang w:val="en-US" w:eastAsia="zh-CN"/>
              </w:rPr>
              <w:t>追究监理单位责任</w:t>
            </w:r>
            <w:r>
              <w:rPr>
                <w:rFonts w:hint="eastAsia" w:ascii="仿宋_GB2312" w:hAnsi="仿宋_GB2312" w:eastAsia="仿宋_GB2312" w:cs="仿宋_GB2312"/>
                <w:color w:val="auto"/>
                <w:sz w:val="28"/>
                <w:szCs w:val="28"/>
                <w:highlight w:val="none"/>
              </w:rPr>
              <w:t>。</w:t>
            </w:r>
          </w:p>
        </w:tc>
        <w:tc>
          <w:tcPr>
            <w:tcW w:w="2126" w:type="dxa"/>
            <w:noWrap w:val="0"/>
            <w:vAlign w:val="top"/>
          </w:tcPr>
          <w:p w14:paraId="2EEE0322">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万元</w:t>
            </w:r>
          </w:p>
        </w:tc>
      </w:tr>
      <w:tr w14:paraId="7D3B7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DAB0DEE">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w:t>
            </w:r>
          </w:p>
        </w:tc>
        <w:tc>
          <w:tcPr>
            <w:tcW w:w="6237" w:type="dxa"/>
            <w:noWrap w:val="0"/>
            <w:vAlign w:val="top"/>
          </w:tcPr>
          <w:p w14:paraId="3A89B426">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发生一般质量问题时，</w:t>
            </w:r>
            <w:r>
              <w:rPr>
                <w:rFonts w:hint="eastAsia" w:ascii="仿宋_GB2312" w:hAnsi="仿宋_GB2312" w:eastAsia="仿宋_GB2312" w:cs="仿宋_GB2312"/>
                <w:color w:val="auto"/>
                <w:sz w:val="28"/>
                <w:szCs w:val="28"/>
                <w:highlight w:val="none"/>
                <w:lang w:val="en-US" w:eastAsia="zh-CN"/>
              </w:rPr>
              <w:t>追究监理单位责任</w:t>
            </w:r>
            <w:r>
              <w:rPr>
                <w:rFonts w:hint="eastAsia" w:ascii="仿宋_GB2312" w:hAnsi="仿宋_GB2312" w:eastAsia="仿宋_GB2312" w:cs="仿宋_GB2312"/>
                <w:color w:val="auto"/>
                <w:sz w:val="28"/>
                <w:szCs w:val="28"/>
                <w:highlight w:val="none"/>
              </w:rPr>
              <w:t>。</w:t>
            </w:r>
          </w:p>
        </w:tc>
        <w:tc>
          <w:tcPr>
            <w:tcW w:w="2126" w:type="dxa"/>
            <w:noWrap w:val="0"/>
            <w:vAlign w:val="top"/>
          </w:tcPr>
          <w:p w14:paraId="4DD5B0C6">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0.5-</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万元</w:t>
            </w:r>
          </w:p>
        </w:tc>
      </w:tr>
      <w:tr w14:paraId="0CCDE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D6D9275">
            <w:pPr>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2.5</w:t>
            </w:r>
          </w:p>
        </w:tc>
        <w:tc>
          <w:tcPr>
            <w:tcW w:w="6237" w:type="dxa"/>
            <w:noWrap w:val="0"/>
            <w:vAlign w:val="top"/>
          </w:tcPr>
          <w:p w14:paraId="702D6225">
            <w:pPr>
              <w:spacing w:line="276" w:lineRule="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rPr>
              <w:t>发生轻微质量问题时，</w:t>
            </w:r>
            <w:r>
              <w:rPr>
                <w:rFonts w:hint="eastAsia" w:ascii="仿宋_GB2312" w:hAnsi="仿宋_GB2312" w:eastAsia="仿宋_GB2312" w:cs="仿宋_GB2312"/>
                <w:color w:val="auto"/>
                <w:sz w:val="28"/>
                <w:szCs w:val="28"/>
                <w:highlight w:val="none"/>
                <w:lang w:val="en-US" w:eastAsia="zh-CN"/>
              </w:rPr>
              <w:t>追究监理单位责任</w:t>
            </w:r>
            <w:r>
              <w:rPr>
                <w:rFonts w:hint="eastAsia" w:ascii="仿宋_GB2312" w:hAnsi="仿宋_GB2312" w:eastAsia="仿宋_GB2312" w:cs="仿宋_GB2312"/>
                <w:color w:val="auto"/>
                <w:sz w:val="28"/>
                <w:szCs w:val="28"/>
                <w:highlight w:val="none"/>
              </w:rPr>
              <w:t>。</w:t>
            </w:r>
          </w:p>
        </w:tc>
        <w:tc>
          <w:tcPr>
            <w:tcW w:w="2126" w:type="dxa"/>
            <w:noWrap w:val="0"/>
            <w:vAlign w:val="top"/>
          </w:tcPr>
          <w:p w14:paraId="52886809">
            <w:pPr>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处罚0.1-1万元</w:t>
            </w:r>
          </w:p>
        </w:tc>
      </w:tr>
      <w:tr w14:paraId="4DA10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A099EF6">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2.6</w:t>
            </w:r>
          </w:p>
        </w:tc>
        <w:tc>
          <w:tcPr>
            <w:tcW w:w="6237" w:type="dxa"/>
            <w:noWrap w:val="0"/>
            <w:vAlign w:val="top"/>
          </w:tcPr>
          <w:p w14:paraId="7001DEC9">
            <w:pPr>
              <w:autoSpaceDE w:val="0"/>
              <w:autoSpaceDN w:val="0"/>
              <w:adjustRightInd w:val="0"/>
              <w:spacing w:line="276" w:lineRule="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发生质量问题和质量事故隐瞒不报的。</w:t>
            </w:r>
          </w:p>
        </w:tc>
        <w:tc>
          <w:tcPr>
            <w:tcW w:w="2126" w:type="dxa"/>
            <w:noWrap w:val="0"/>
            <w:vAlign w:val="top"/>
          </w:tcPr>
          <w:p w14:paraId="1C34D91A">
            <w:pPr>
              <w:autoSpaceDE w:val="0"/>
              <w:autoSpaceDN w:val="0"/>
              <w:adjustRightInd w:val="0"/>
              <w:spacing w:line="276"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1万元/次</w:t>
            </w:r>
          </w:p>
        </w:tc>
      </w:tr>
    </w:tbl>
    <w:p w14:paraId="7C2F3CDC">
      <w:pPr>
        <w:widowControl w:val="0"/>
        <w:snapToGrid w:val="0"/>
        <w:spacing w:line="440" w:lineRule="exact"/>
        <w:ind w:firstLine="0" w:firstLineChars="0"/>
        <w:jc w:val="both"/>
        <w:rPr>
          <w:rFonts w:hint="eastAsia" w:ascii="仿宋_GB2312" w:hAnsi="仿宋_GB2312" w:eastAsia="仿宋_GB2312" w:cs="仿宋_GB2312"/>
          <w:b/>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he-IL"/>
        </w:rPr>
        <w:t>2.3进度考核</w:t>
      </w:r>
    </w:p>
    <w:tbl>
      <w:tblPr>
        <w:tblStyle w:val="2"/>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2409"/>
      </w:tblGrid>
      <w:tr w14:paraId="5A4A8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552A57C2">
            <w:pPr>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序号</w:t>
            </w:r>
          </w:p>
        </w:tc>
        <w:tc>
          <w:tcPr>
            <w:tcW w:w="6096" w:type="dxa"/>
            <w:noWrap w:val="0"/>
            <w:vAlign w:val="center"/>
          </w:tcPr>
          <w:p w14:paraId="78784ED9">
            <w:pPr>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考核内容</w:t>
            </w:r>
          </w:p>
        </w:tc>
        <w:tc>
          <w:tcPr>
            <w:tcW w:w="2409" w:type="dxa"/>
            <w:noWrap w:val="0"/>
            <w:vAlign w:val="center"/>
          </w:tcPr>
          <w:p w14:paraId="4CC8473F">
            <w:pPr>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考核标准</w:t>
            </w:r>
          </w:p>
        </w:tc>
      </w:tr>
      <w:tr w14:paraId="37F81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66F1690C">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0255ED90">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里程碑节点计划未按期完成的，按延误的天数进行处罚。</w:t>
            </w:r>
          </w:p>
        </w:tc>
        <w:tc>
          <w:tcPr>
            <w:tcW w:w="2409" w:type="dxa"/>
            <w:noWrap w:val="0"/>
            <w:vAlign w:val="center"/>
          </w:tcPr>
          <w:p w14:paraId="64149208">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1-10天每延误1天考核</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万元；11-20天每延误1天考核</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万元；21天以上每延误1天考核</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万；</w:t>
            </w:r>
          </w:p>
        </w:tc>
      </w:tr>
      <w:tr w14:paraId="533CBA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794CCA85">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1CEB3CA4">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一级网络计划的关键节点未按期完成</w:t>
            </w:r>
          </w:p>
        </w:tc>
        <w:tc>
          <w:tcPr>
            <w:tcW w:w="2409" w:type="dxa"/>
            <w:noWrap w:val="0"/>
            <w:vAlign w:val="center"/>
          </w:tcPr>
          <w:p w14:paraId="74162C37">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0000元/例（节点）</w:t>
            </w:r>
          </w:p>
        </w:tc>
      </w:tr>
      <w:tr w14:paraId="464AF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4B968EE3">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0B9C33F8">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二级网络计划的关键节点未按期完成</w:t>
            </w:r>
          </w:p>
        </w:tc>
        <w:tc>
          <w:tcPr>
            <w:tcW w:w="2409" w:type="dxa"/>
            <w:noWrap w:val="0"/>
            <w:vAlign w:val="center"/>
          </w:tcPr>
          <w:p w14:paraId="63E08D3B">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000元/例（节点）</w:t>
            </w:r>
          </w:p>
        </w:tc>
      </w:tr>
      <w:tr w14:paraId="51E82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785BD77A">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5C27CEF6">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三级网络计划中关键节点未按期完成</w:t>
            </w:r>
          </w:p>
        </w:tc>
        <w:tc>
          <w:tcPr>
            <w:tcW w:w="2409" w:type="dxa"/>
            <w:noWrap w:val="0"/>
            <w:vAlign w:val="center"/>
          </w:tcPr>
          <w:p w14:paraId="3FC23FDE">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000元/例（节点）</w:t>
            </w:r>
          </w:p>
        </w:tc>
      </w:tr>
      <w:tr w14:paraId="6642B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306F6562">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7E604AA2">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工程协调会或有关协调会确定的工期项目未按期完成</w:t>
            </w:r>
          </w:p>
        </w:tc>
        <w:tc>
          <w:tcPr>
            <w:tcW w:w="2409" w:type="dxa"/>
            <w:noWrap w:val="0"/>
            <w:vAlign w:val="center"/>
          </w:tcPr>
          <w:p w14:paraId="1C7F355C">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000元/例（节点）</w:t>
            </w:r>
          </w:p>
        </w:tc>
      </w:tr>
      <w:tr w14:paraId="5AE05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7EE324C2">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285F8684">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月度进度计划的项目未按期完成的，按项处罚</w:t>
            </w:r>
          </w:p>
        </w:tc>
        <w:tc>
          <w:tcPr>
            <w:tcW w:w="2409" w:type="dxa"/>
            <w:noWrap w:val="0"/>
            <w:vAlign w:val="center"/>
          </w:tcPr>
          <w:p w14:paraId="2CB3B7D8">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000元/项</w:t>
            </w:r>
          </w:p>
        </w:tc>
      </w:tr>
      <w:tr w14:paraId="404DA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3A5BB687">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0F52267E">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周进度计划项目</w:t>
            </w:r>
            <w:r>
              <w:rPr>
                <w:rFonts w:hint="eastAsia" w:ascii="仿宋_GB2312" w:hAnsi="仿宋_GB2312" w:eastAsia="仿宋_GB2312" w:cs="仿宋_GB2312"/>
                <w:bCs/>
                <w:color w:val="auto"/>
                <w:sz w:val="28"/>
                <w:szCs w:val="28"/>
                <w:highlight w:val="none"/>
              </w:rPr>
              <w:t>未按期完成的，</w:t>
            </w:r>
            <w:r>
              <w:rPr>
                <w:rFonts w:hint="eastAsia" w:ascii="仿宋_GB2312" w:hAnsi="仿宋_GB2312" w:eastAsia="仿宋_GB2312" w:cs="仿宋_GB2312"/>
                <w:color w:val="auto"/>
                <w:sz w:val="28"/>
                <w:szCs w:val="28"/>
                <w:highlight w:val="none"/>
              </w:rPr>
              <w:t>按项处罚</w:t>
            </w:r>
          </w:p>
        </w:tc>
        <w:tc>
          <w:tcPr>
            <w:tcW w:w="2409" w:type="dxa"/>
            <w:noWrap w:val="0"/>
            <w:vAlign w:val="center"/>
          </w:tcPr>
          <w:p w14:paraId="3E0589E5">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5</w:t>
            </w:r>
            <w:r>
              <w:rPr>
                <w:rFonts w:hint="eastAsia" w:ascii="仿宋_GB2312" w:hAnsi="仿宋_GB2312" w:eastAsia="仿宋_GB2312" w:cs="仿宋_GB2312"/>
                <w:bCs/>
                <w:color w:val="auto"/>
                <w:sz w:val="28"/>
                <w:szCs w:val="28"/>
                <w:highlight w:val="none"/>
              </w:rPr>
              <w:t>00元</w:t>
            </w:r>
            <w:r>
              <w:rPr>
                <w:rFonts w:hint="eastAsia" w:ascii="仿宋_GB2312" w:hAnsi="仿宋_GB2312" w:eastAsia="仿宋_GB2312" w:cs="仿宋_GB2312"/>
                <w:color w:val="auto"/>
                <w:sz w:val="28"/>
                <w:szCs w:val="28"/>
                <w:highlight w:val="none"/>
              </w:rPr>
              <w:t>/项</w:t>
            </w:r>
          </w:p>
        </w:tc>
      </w:tr>
      <w:tr w14:paraId="1FC25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0A070ADD">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66B3ECF0">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不能按时报送当月《施工任务完成情况报审表》等其他与项目建设相关文件及报表</w:t>
            </w:r>
          </w:p>
        </w:tc>
        <w:tc>
          <w:tcPr>
            <w:tcW w:w="2409" w:type="dxa"/>
            <w:noWrap w:val="0"/>
            <w:vAlign w:val="center"/>
          </w:tcPr>
          <w:p w14:paraId="5062AF86">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000元/次</w:t>
            </w:r>
          </w:p>
        </w:tc>
      </w:tr>
      <w:tr w14:paraId="60988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356383B9">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6511509C">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未按时间或要求报送各类计划、措施、方案、资料以及其他文件或材料的</w:t>
            </w:r>
            <w:r>
              <w:rPr>
                <w:rFonts w:hint="eastAsia" w:ascii="仿宋_GB2312" w:hAnsi="仿宋_GB2312" w:eastAsia="仿宋_GB2312" w:cs="仿宋_GB2312"/>
                <w:color w:val="auto"/>
                <w:sz w:val="28"/>
                <w:szCs w:val="28"/>
                <w:highlight w:val="none"/>
              </w:rPr>
              <w:t>，按延误天数处罚</w:t>
            </w:r>
          </w:p>
        </w:tc>
        <w:tc>
          <w:tcPr>
            <w:tcW w:w="2409" w:type="dxa"/>
            <w:noWrap w:val="0"/>
            <w:vAlign w:val="center"/>
          </w:tcPr>
          <w:p w14:paraId="083419EE">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500元/天</w:t>
            </w:r>
          </w:p>
        </w:tc>
      </w:tr>
      <w:tr w14:paraId="2060E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7E0406A4">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36B2D9A4">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编制的图纸交付计划与实际工程进度不符</w:t>
            </w:r>
          </w:p>
        </w:tc>
        <w:tc>
          <w:tcPr>
            <w:tcW w:w="2409" w:type="dxa"/>
            <w:noWrap w:val="0"/>
            <w:vAlign w:val="center"/>
          </w:tcPr>
          <w:p w14:paraId="6BCFDD10">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10000元/次</w:t>
            </w:r>
          </w:p>
        </w:tc>
      </w:tr>
      <w:tr w14:paraId="0B104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20BF02CA">
            <w:pPr>
              <w:widowControl w:val="0"/>
              <w:numPr>
                <w:ilvl w:val="0"/>
                <w:numId w:val="3"/>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3773D781">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未按图纸交付计划按期交付图纸</w:t>
            </w:r>
          </w:p>
        </w:tc>
        <w:tc>
          <w:tcPr>
            <w:tcW w:w="2409" w:type="dxa"/>
            <w:noWrap w:val="0"/>
            <w:vAlign w:val="center"/>
          </w:tcPr>
          <w:p w14:paraId="041D5321">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20000元/次</w:t>
            </w:r>
          </w:p>
        </w:tc>
      </w:tr>
    </w:tbl>
    <w:p w14:paraId="168FB998">
      <w:pPr>
        <w:widowControl w:val="0"/>
        <w:snapToGrid w:val="0"/>
        <w:spacing w:line="440" w:lineRule="exact"/>
        <w:ind w:firstLine="0" w:firstLineChars="0"/>
        <w:jc w:val="both"/>
        <w:rPr>
          <w:rFonts w:hint="eastAsia" w:ascii="仿宋_GB2312" w:hAnsi="仿宋_GB2312" w:eastAsia="仿宋_GB2312" w:cs="仿宋_GB2312"/>
          <w:b/>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he-IL"/>
        </w:rPr>
        <w:t>2.4人员考核</w:t>
      </w:r>
    </w:p>
    <w:tbl>
      <w:tblPr>
        <w:tblStyle w:val="2"/>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2409"/>
      </w:tblGrid>
      <w:tr w14:paraId="20383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2001A481">
            <w:pPr>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序号</w:t>
            </w:r>
          </w:p>
        </w:tc>
        <w:tc>
          <w:tcPr>
            <w:tcW w:w="6096" w:type="dxa"/>
            <w:noWrap w:val="0"/>
            <w:vAlign w:val="center"/>
          </w:tcPr>
          <w:p w14:paraId="73655F01">
            <w:pPr>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考核内容</w:t>
            </w:r>
          </w:p>
        </w:tc>
        <w:tc>
          <w:tcPr>
            <w:tcW w:w="2409" w:type="dxa"/>
            <w:noWrap w:val="0"/>
            <w:vAlign w:val="center"/>
          </w:tcPr>
          <w:p w14:paraId="7F1C288D">
            <w:pPr>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考核标准</w:t>
            </w:r>
          </w:p>
        </w:tc>
      </w:tr>
      <w:tr w14:paraId="5B99E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56C5BFE6">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480360C7">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总监理</w:t>
            </w:r>
            <w:r>
              <w:rPr>
                <w:rFonts w:hint="eastAsia" w:ascii="仿宋_GB2312" w:hAnsi="仿宋_GB2312" w:eastAsia="仿宋_GB2312" w:cs="仿宋_GB2312"/>
                <w:color w:val="auto"/>
                <w:sz w:val="28"/>
                <w:szCs w:val="28"/>
                <w:highlight w:val="none"/>
              </w:rPr>
              <w:t>与投标文件不符的</w:t>
            </w:r>
          </w:p>
        </w:tc>
        <w:tc>
          <w:tcPr>
            <w:tcW w:w="2409" w:type="dxa"/>
            <w:noWrap w:val="0"/>
            <w:vAlign w:val="center"/>
          </w:tcPr>
          <w:p w14:paraId="7C7DE3A1">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0000元</w:t>
            </w:r>
          </w:p>
        </w:tc>
      </w:tr>
      <w:tr w14:paraId="6B43C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2D65E4BD">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376850BF">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总监理</w:t>
            </w:r>
            <w:r>
              <w:rPr>
                <w:rFonts w:hint="eastAsia" w:ascii="仿宋_GB2312" w:hAnsi="仿宋_GB2312" w:eastAsia="仿宋_GB2312" w:cs="仿宋_GB2312"/>
                <w:color w:val="auto"/>
                <w:sz w:val="28"/>
                <w:szCs w:val="28"/>
                <w:highlight w:val="none"/>
              </w:rPr>
              <w:t>资质要求不满组招标文件的应在3日内调整更换，每延误1天</w:t>
            </w:r>
          </w:p>
        </w:tc>
        <w:tc>
          <w:tcPr>
            <w:tcW w:w="2409" w:type="dxa"/>
            <w:noWrap w:val="0"/>
            <w:vAlign w:val="center"/>
          </w:tcPr>
          <w:p w14:paraId="4F9EA7B8">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0000元/天</w:t>
            </w:r>
          </w:p>
        </w:tc>
      </w:tr>
      <w:tr w14:paraId="15D99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2C1E1AD5">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684FD9AC">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总监理</w:t>
            </w:r>
            <w:r>
              <w:rPr>
                <w:rFonts w:hint="eastAsia" w:ascii="仿宋_GB2312" w:hAnsi="仿宋_GB2312" w:eastAsia="仿宋_GB2312" w:cs="仿宋_GB2312"/>
                <w:color w:val="auto"/>
                <w:sz w:val="28"/>
                <w:szCs w:val="28"/>
                <w:highlight w:val="none"/>
              </w:rPr>
              <w:t>未经建设方同意，擅自离岗的</w:t>
            </w:r>
          </w:p>
        </w:tc>
        <w:tc>
          <w:tcPr>
            <w:tcW w:w="2409" w:type="dxa"/>
            <w:noWrap w:val="0"/>
            <w:vAlign w:val="center"/>
          </w:tcPr>
          <w:p w14:paraId="3B7A964C">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000元/天</w:t>
            </w:r>
          </w:p>
        </w:tc>
      </w:tr>
      <w:tr w14:paraId="7C6F8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5AD829A2">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696D96A3">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总监理</w:t>
            </w:r>
            <w:r>
              <w:rPr>
                <w:rFonts w:hint="eastAsia" w:ascii="仿宋_GB2312" w:hAnsi="仿宋_GB2312" w:eastAsia="仿宋_GB2312" w:cs="仿宋_GB2312"/>
                <w:color w:val="auto"/>
                <w:sz w:val="28"/>
                <w:szCs w:val="28"/>
                <w:highlight w:val="none"/>
              </w:rPr>
              <w:t>未经建设方同意，擅自调整的</w:t>
            </w:r>
          </w:p>
        </w:tc>
        <w:tc>
          <w:tcPr>
            <w:tcW w:w="2409" w:type="dxa"/>
            <w:noWrap w:val="0"/>
            <w:vAlign w:val="center"/>
          </w:tcPr>
          <w:p w14:paraId="6287FC66">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0000元/次</w:t>
            </w:r>
          </w:p>
        </w:tc>
      </w:tr>
      <w:tr w14:paraId="2119B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75" w:type="dxa"/>
            <w:noWrap w:val="0"/>
            <w:vAlign w:val="center"/>
          </w:tcPr>
          <w:p w14:paraId="55A7BA47">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66E2D435">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监理工程师</w:t>
            </w:r>
            <w:r>
              <w:rPr>
                <w:rFonts w:hint="eastAsia" w:ascii="仿宋_GB2312" w:hAnsi="仿宋_GB2312" w:eastAsia="仿宋_GB2312" w:cs="仿宋_GB2312"/>
                <w:color w:val="auto"/>
                <w:sz w:val="28"/>
                <w:szCs w:val="28"/>
                <w:highlight w:val="none"/>
              </w:rPr>
              <w:t>人员资质不符的</w:t>
            </w:r>
          </w:p>
        </w:tc>
        <w:tc>
          <w:tcPr>
            <w:tcW w:w="2409" w:type="dxa"/>
            <w:noWrap w:val="0"/>
            <w:vAlign w:val="center"/>
          </w:tcPr>
          <w:p w14:paraId="68AEDBF6">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000元/人</w:t>
            </w:r>
          </w:p>
        </w:tc>
      </w:tr>
      <w:tr w14:paraId="2D36D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42873904">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2F2B401A">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监理工程师</w:t>
            </w:r>
            <w:r>
              <w:rPr>
                <w:rFonts w:hint="eastAsia" w:ascii="仿宋_GB2312" w:hAnsi="仿宋_GB2312" w:eastAsia="仿宋_GB2312" w:cs="仿宋_GB2312"/>
                <w:color w:val="auto"/>
                <w:sz w:val="28"/>
                <w:szCs w:val="28"/>
                <w:highlight w:val="none"/>
              </w:rPr>
              <w:t>人员配备不足的</w:t>
            </w:r>
          </w:p>
        </w:tc>
        <w:tc>
          <w:tcPr>
            <w:tcW w:w="2409" w:type="dxa"/>
            <w:noWrap w:val="0"/>
            <w:vAlign w:val="center"/>
          </w:tcPr>
          <w:p w14:paraId="6366E55C">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000元/人</w:t>
            </w:r>
          </w:p>
        </w:tc>
      </w:tr>
      <w:tr w14:paraId="6DD84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2A55DD5E">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2A7335BB">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监理工程师</w:t>
            </w:r>
            <w:r>
              <w:rPr>
                <w:rFonts w:hint="eastAsia" w:ascii="仿宋_GB2312" w:hAnsi="仿宋_GB2312" w:eastAsia="仿宋_GB2312" w:cs="仿宋_GB2312"/>
                <w:color w:val="auto"/>
                <w:sz w:val="28"/>
                <w:szCs w:val="28"/>
                <w:highlight w:val="none"/>
              </w:rPr>
              <w:t>未经建设方同意，擅自调整的</w:t>
            </w:r>
          </w:p>
        </w:tc>
        <w:tc>
          <w:tcPr>
            <w:tcW w:w="2409" w:type="dxa"/>
            <w:noWrap w:val="0"/>
            <w:vAlign w:val="center"/>
          </w:tcPr>
          <w:p w14:paraId="4F5D7D8B">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000元/人</w:t>
            </w:r>
          </w:p>
        </w:tc>
      </w:tr>
      <w:tr w14:paraId="4ED5F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76E54468">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5940F04E">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未及时配置相关人员参与工程协调及问题解决的</w:t>
            </w:r>
          </w:p>
        </w:tc>
        <w:tc>
          <w:tcPr>
            <w:tcW w:w="2409" w:type="dxa"/>
            <w:noWrap w:val="0"/>
            <w:vAlign w:val="center"/>
          </w:tcPr>
          <w:p w14:paraId="01D2F357">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5000元/人次</w:t>
            </w:r>
          </w:p>
        </w:tc>
      </w:tr>
      <w:tr w14:paraId="4FB42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045CAD02">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2B0877F6">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拒不整改建设方提出的有关工程建设过程中安全、质量、进度、或文明施工的措施、意见、建议的</w:t>
            </w:r>
          </w:p>
        </w:tc>
        <w:tc>
          <w:tcPr>
            <w:tcW w:w="2409" w:type="dxa"/>
            <w:noWrap w:val="0"/>
            <w:vAlign w:val="center"/>
          </w:tcPr>
          <w:p w14:paraId="4C04D63A">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10000元/项</w:t>
            </w:r>
          </w:p>
        </w:tc>
      </w:tr>
      <w:tr w14:paraId="1D047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629C8AE6">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42693F06">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拒不整改建设方有关推进项目建设的管理措施或要求的</w:t>
            </w:r>
          </w:p>
        </w:tc>
        <w:tc>
          <w:tcPr>
            <w:tcW w:w="2409" w:type="dxa"/>
            <w:noWrap w:val="0"/>
            <w:vAlign w:val="center"/>
          </w:tcPr>
          <w:p w14:paraId="03483465">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000元/次</w:t>
            </w:r>
            <w:r>
              <w:rPr>
                <w:rFonts w:hint="eastAsia" w:ascii="仿宋_GB2312" w:hAnsi="仿宋_GB2312" w:eastAsia="仿宋_GB2312" w:cs="仿宋_GB2312"/>
                <w:color w:val="auto"/>
                <w:sz w:val="28"/>
                <w:szCs w:val="28"/>
                <w:highlight w:val="none"/>
                <w:vertAlign w:val="baseline"/>
              </w:rPr>
              <w:t>*</w:t>
            </w:r>
            <w:r>
              <w:rPr>
                <w:rFonts w:hint="eastAsia" w:ascii="仿宋_GB2312" w:hAnsi="仿宋_GB2312" w:eastAsia="仿宋_GB2312" w:cs="仿宋_GB2312"/>
                <w:color w:val="auto"/>
                <w:sz w:val="28"/>
                <w:szCs w:val="28"/>
                <w:highlight w:val="none"/>
              </w:rPr>
              <w:t>天</w:t>
            </w:r>
          </w:p>
        </w:tc>
      </w:tr>
      <w:tr w14:paraId="34C14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675" w:type="dxa"/>
            <w:noWrap w:val="0"/>
            <w:vAlign w:val="center"/>
          </w:tcPr>
          <w:p w14:paraId="4E62D94C">
            <w:pPr>
              <w:widowControl w:val="0"/>
              <w:numPr>
                <w:ilvl w:val="0"/>
                <w:numId w:val="4"/>
              </w:numPr>
              <w:spacing w:before="158"/>
              <w:ind w:left="1176" w:firstLine="480" w:firstLineChars="0"/>
              <w:jc w:val="both"/>
              <w:rPr>
                <w:rFonts w:hint="eastAsia" w:ascii="仿宋_GB2312" w:hAnsi="仿宋_GB2312" w:eastAsia="仿宋_GB2312" w:cs="仿宋_GB2312"/>
                <w:color w:val="auto"/>
                <w:kern w:val="2"/>
                <w:sz w:val="28"/>
                <w:szCs w:val="28"/>
                <w:highlight w:val="none"/>
                <w:lang w:val="en-US" w:eastAsia="zh-CN" w:bidi="ar-SA"/>
              </w:rPr>
            </w:pPr>
          </w:p>
        </w:tc>
        <w:tc>
          <w:tcPr>
            <w:tcW w:w="6096" w:type="dxa"/>
            <w:noWrap w:val="0"/>
            <w:vAlign w:val="center"/>
          </w:tcPr>
          <w:p w14:paraId="61315BDC">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对外部单位的参观、访问、交流、调研、检查等接待性事项敷衍了事，造成影响的</w:t>
            </w:r>
          </w:p>
        </w:tc>
        <w:tc>
          <w:tcPr>
            <w:tcW w:w="2409" w:type="dxa"/>
            <w:noWrap w:val="0"/>
            <w:vAlign w:val="center"/>
          </w:tcPr>
          <w:p w14:paraId="5A61C619">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情节轻微</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000元/例</w:t>
            </w:r>
          </w:p>
          <w:p w14:paraId="7FBE5DB3">
            <w:pPr>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情节严重</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0000元/例</w:t>
            </w:r>
          </w:p>
        </w:tc>
      </w:tr>
    </w:tbl>
    <w:p w14:paraId="2F57E3E1">
      <w:pPr>
        <w:widowControl w:val="0"/>
        <w:snapToGrid w:val="0"/>
        <w:spacing w:line="440" w:lineRule="exact"/>
        <w:ind w:firstLine="562" w:firstLineChars="200"/>
        <w:jc w:val="both"/>
        <w:rPr>
          <w:rFonts w:hint="eastAsia" w:ascii="仿宋_GB2312" w:hAnsi="仿宋_GB2312" w:eastAsia="仿宋_GB2312" w:cs="仿宋_GB2312"/>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he-IL"/>
        </w:rPr>
        <w:t>2.5其他考核</w:t>
      </w:r>
      <w:r>
        <w:rPr>
          <w:rFonts w:hint="eastAsia" w:ascii="仿宋_GB2312" w:hAnsi="仿宋_GB2312" w:eastAsia="仿宋_GB2312" w:cs="仿宋_GB2312"/>
          <w:color w:val="auto"/>
          <w:kern w:val="2"/>
          <w:sz w:val="28"/>
          <w:szCs w:val="28"/>
          <w:highlight w:val="none"/>
          <w:lang w:val="en-US" w:eastAsia="zh-CN" w:bidi="he-IL"/>
        </w:rPr>
        <w:t>（不仅限于此）：</w:t>
      </w:r>
    </w:p>
    <w:tbl>
      <w:tblPr>
        <w:tblStyle w:val="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4"/>
        <w:gridCol w:w="5551"/>
        <w:gridCol w:w="2307"/>
      </w:tblGrid>
      <w:tr w14:paraId="79FA59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atLeast"/>
          <w:jc w:val="center"/>
        </w:trPr>
        <w:tc>
          <w:tcPr>
            <w:tcW w:w="667" w:type="dxa"/>
            <w:tcBorders>
              <w:right w:val="single" w:color="auto" w:sz="4" w:space="0"/>
            </w:tcBorders>
            <w:noWrap w:val="0"/>
            <w:vAlign w:val="center"/>
          </w:tcPr>
          <w:p w14:paraId="07CEE136">
            <w:pPr>
              <w:widowControl w:val="0"/>
              <w:adjustRightInd w:val="0"/>
              <w:snapToGrid w:val="0"/>
              <w:spacing w:before="158"/>
              <w:ind w:left="0" w:firstLine="0"/>
              <w:jc w:val="both"/>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序号</w:t>
            </w:r>
          </w:p>
        </w:tc>
        <w:tc>
          <w:tcPr>
            <w:tcW w:w="6005" w:type="dxa"/>
            <w:tcBorders>
              <w:left w:val="single" w:color="auto" w:sz="4" w:space="0"/>
              <w:right w:val="single" w:color="auto" w:sz="4" w:space="0"/>
            </w:tcBorders>
            <w:noWrap w:val="0"/>
            <w:vAlign w:val="center"/>
          </w:tcPr>
          <w:p w14:paraId="3D007DEC">
            <w:pPr>
              <w:adjustRightInd w:val="0"/>
              <w:snapToGrid w:val="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事  项</w:t>
            </w:r>
          </w:p>
        </w:tc>
        <w:tc>
          <w:tcPr>
            <w:tcW w:w="2388" w:type="dxa"/>
            <w:tcBorders>
              <w:left w:val="single" w:color="auto" w:sz="4" w:space="0"/>
            </w:tcBorders>
            <w:noWrap w:val="0"/>
            <w:vAlign w:val="center"/>
          </w:tcPr>
          <w:p w14:paraId="22C8E34C">
            <w:pPr>
              <w:adjustRightInd w:val="0"/>
              <w:snapToGrid w:val="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金  额</w:t>
            </w:r>
          </w:p>
        </w:tc>
      </w:tr>
      <w:tr w14:paraId="12907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667" w:type="dxa"/>
            <w:tcBorders>
              <w:right w:val="single" w:color="auto" w:sz="4" w:space="0"/>
            </w:tcBorders>
            <w:noWrap w:val="0"/>
            <w:vAlign w:val="center"/>
          </w:tcPr>
          <w:p w14:paraId="367318FA">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w:t>
            </w:r>
          </w:p>
        </w:tc>
        <w:tc>
          <w:tcPr>
            <w:tcW w:w="6005" w:type="dxa"/>
            <w:tcBorders>
              <w:left w:val="single" w:color="auto" w:sz="4" w:space="0"/>
              <w:right w:val="single" w:color="auto" w:sz="4" w:space="0"/>
            </w:tcBorders>
            <w:noWrap w:val="0"/>
            <w:vAlign w:val="center"/>
          </w:tcPr>
          <w:p w14:paraId="43341D23">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监理人员未按要求到位，或未经业主方同意，监理人员擅自离开工地 </w:t>
            </w:r>
          </w:p>
        </w:tc>
        <w:tc>
          <w:tcPr>
            <w:tcW w:w="2388" w:type="dxa"/>
            <w:tcBorders>
              <w:left w:val="single" w:color="auto" w:sz="4" w:space="0"/>
            </w:tcBorders>
            <w:noWrap w:val="0"/>
            <w:vAlign w:val="center"/>
          </w:tcPr>
          <w:p w14:paraId="3DA85AAF">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扣罚500-1000元/人.次</w:t>
            </w:r>
          </w:p>
        </w:tc>
      </w:tr>
      <w:tr w14:paraId="04F63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667" w:type="dxa"/>
            <w:tcBorders>
              <w:right w:val="single" w:color="auto" w:sz="4" w:space="0"/>
            </w:tcBorders>
            <w:noWrap w:val="0"/>
            <w:vAlign w:val="center"/>
          </w:tcPr>
          <w:p w14:paraId="2D20F5A4">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2.</w:t>
            </w:r>
          </w:p>
        </w:tc>
        <w:tc>
          <w:tcPr>
            <w:tcW w:w="6005" w:type="dxa"/>
            <w:tcBorders>
              <w:left w:val="single" w:color="auto" w:sz="4" w:space="0"/>
              <w:right w:val="single" w:color="auto" w:sz="4" w:space="0"/>
            </w:tcBorders>
            <w:noWrap w:val="0"/>
            <w:vAlign w:val="center"/>
          </w:tcPr>
          <w:p w14:paraId="3D27626A">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监理人员不按质量验评要求参与现场验收或不参加物资的开箱验收</w:t>
            </w:r>
          </w:p>
        </w:tc>
        <w:tc>
          <w:tcPr>
            <w:tcW w:w="2388" w:type="dxa"/>
            <w:tcBorders>
              <w:left w:val="single" w:color="auto" w:sz="4" w:space="0"/>
            </w:tcBorders>
            <w:noWrap w:val="0"/>
            <w:vAlign w:val="center"/>
          </w:tcPr>
          <w:p w14:paraId="308FAFBE">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扣罚500-2000元/次</w:t>
            </w:r>
          </w:p>
        </w:tc>
      </w:tr>
      <w:tr w14:paraId="1555F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667" w:type="dxa"/>
            <w:tcBorders>
              <w:right w:val="single" w:color="auto" w:sz="4" w:space="0"/>
            </w:tcBorders>
            <w:noWrap w:val="0"/>
            <w:vAlign w:val="center"/>
          </w:tcPr>
          <w:p w14:paraId="3D604039">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3.</w:t>
            </w:r>
          </w:p>
        </w:tc>
        <w:tc>
          <w:tcPr>
            <w:tcW w:w="6005" w:type="dxa"/>
            <w:tcBorders>
              <w:left w:val="single" w:color="auto" w:sz="4" w:space="0"/>
              <w:right w:val="single" w:color="auto" w:sz="4" w:space="0"/>
            </w:tcBorders>
            <w:noWrap w:val="0"/>
            <w:vAlign w:val="center"/>
          </w:tcPr>
          <w:p w14:paraId="26D329F2">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工程碰头会、调度会以及协调会上布置的工作，监理单位如未按时落实完成</w:t>
            </w:r>
          </w:p>
        </w:tc>
        <w:tc>
          <w:tcPr>
            <w:tcW w:w="2388" w:type="dxa"/>
            <w:tcBorders>
              <w:left w:val="single" w:color="auto" w:sz="4" w:space="0"/>
            </w:tcBorders>
            <w:noWrap w:val="0"/>
            <w:vAlign w:val="center"/>
          </w:tcPr>
          <w:p w14:paraId="28A3E76E">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扣罚500-2000元/次</w:t>
            </w:r>
          </w:p>
        </w:tc>
      </w:tr>
      <w:tr w14:paraId="5EF81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667" w:type="dxa"/>
            <w:tcBorders>
              <w:right w:val="single" w:color="auto" w:sz="4" w:space="0"/>
            </w:tcBorders>
            <w:noWrap w:val="0"/>
            <w:vAlign w:val="center"/>
          </w:tcPr>
          <w:p w14:paraId="26F15028">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4.</w:t>
            </w:r>
          </w:p>
        </w:tc>
        <w:tc>
          <w:tcPr>
            <w:tcW w:w="6005" w:type="dxa"/>
            <w:tcBorders>
              <w:left w:val="single" w:color="auto" w:sz="4" w:space="0"/>
              <w:right w:val="single" w:color="auto" w:sz="4" w:space="0"/>
            </w:tcBorders>
            <w:noWrap w:val="0"/>
            <w:vAlign w:val="center"/>
          </w:tcPr>
          <w:p w14:paraId="5A323CB0">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监理单位对物资管理承包单位或施工单位监督不力，造成物资管理混乱或损失</w:t>
            </w:r>
          </w:p>
        </w:tc>
        <w:tc>
          <w:tcPr>
            <w:tcW w:w="2388" w:type="dxa"/>
            <w:tcBorders>
              <w:left w:val="single" w:color="auto" w:sz="4" w:space="0"/>
            </w:tcBorders>
            <w:noWrap w:val="0"/>
            <w:vAlign w:val="center"/>
          </w:tcPr>
          <w:p w14:paraId="3D16AD39">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扣罚1000-5000元/次</w:t>
            </w:r>
          </w:p>
        </w:tc>
      </w:tr>
      <w:tr w14:paraId="765CA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667" w:type="dxa"/>
            <w:tcBorders>
              <w:right w:val="single" w:color="auto" w:sz="4" w:space="0"/>
            </w:tcBorders>
            <w:noWrap w:val="0"/>
            <w:vAlign w:val="center"/>
          </w:tcPr>
          <w:p w14:paraId="445CDD07">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5.</w:t>
            </w:r>
          </w:p>
        </w:tc>
        <w:tc>
          <w:tcPr>
            <w:tcW w:w="6005" w:type="dxa"/>
            <w:tcBorders>
              <w:left w:val="single" w:color="auto" w:sz="4" w:space="0"/>
              <w:right w:val="single" w:color="auto" w:sz="4" w:space="0"/>
            </w:tcBorders>
            <w:noWrap w:val="0"/>
            <w:vAlign w:val="center"/>
          </w:tcPr>
          <w:p w14:paraId="11195A7F">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由于监理责任，未及时向施工单位下达整改通知和考核通知，造成一级网络计划关键控制点进度推迟</w:t>
            </w:r>
          </w:p>
        </w:tc>
        <w:tc>
          <w:tcPr>
            <w:tcW w:w="2388" w:type="dxa"/>
            <w:tcBorders>
              <w:left w:val="single" w:color="auto" w:sz="4" w:space="0"/>
            </w:tcBorders>
            <w:noWrap w:val="0"/>
            <w:vAlign w:val="center"/>
          </w:tcPr>
          <w:p w14:paraId="75CB5630">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扣罚1万元/次</w:t>
            </w:r>
          </w:p>
        </w:tc>
      </w:tr>
      <w:tr w14:paraId="243E7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667" w:type="dxa"/>
            <w:tcBorders>
              <w:right w:val="single" w:color="auto" w:sz="4" w:space="0"/>
            </w:tcBorders>
            <w:noWrap w:val="0"/>
            <w:vAlign w:val="center"/>
          </w:tcPr>
          <w:p w14:paraId="4FD43CD2">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6.</w:t>
            </w:r>
          </w:p>
        </w:tc>
        <w:tc>
          <w:tcPr>
            <w:tcW w:w="6005" w:type="dxa"/>
            <w:tcBorders>
              <w:left w:val="single" w:color="auto" w:sz="4" w:space="0"/>
              <w:right w:val="single" w:color="auto" w:sz="4" w:space="0"/>
            </w:tcBorders>
            <w:noWrap w:val="0"/>
            <w:vAlign w:val="center"/>
          </w:tcPr>
          <w:p w14:paraId="0E3D29D8">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由于监理责任，未及时向施工单位下达整改通知和考核通知，造成二级网络计划关键控制点进度推迟</w:t>
            </w:r>
          </w:p>
        </w:tc>
        <w:tc>
          <w:tcPr>
            <w:tcW w:w="2388" w:type="dxa"/>
            <w:tcBorders>
              <w:left w:val="single" w:color="auto" w:sz="4" w:space="0"/>
            </w:tcBorders>
            <w:noWrap w:val="0"/>
            <w:vAlign w:val="center"/>
          </w:tcPr>
          <w:p w14:paraId="5D896B9B">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扣罚5000元/次</w:t>
            </w:r>
          </w:p>
        </w:tc>
      </w:tr>
      <w:tr w14:paraId="67E83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667" w:type="dxa"/>
            <w:tcBorders>
              <w:right w:val="single" w:color="auto" w:sz="4" w:space="0"/>
            </w:tcBorders>
            <w:noWrap w:val="0"/>
            <w:vAlign w:val="center"/>
          </w:tcPr>
          <w:p w14:paraId="4C2F5EEC">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7.</w:t>
            </w:r>
          </w:p>
        </w:tc>
        <w:tc>
          <w:tcPr>
            <w:tcW w:w="6005" w:type="dxa"/>
            <w:tcBorders>
              <w:left w:val="single" w:color="auto" w:sz="4" w:space="0"/>
              <w:right w:val="single" w:color="auto" w:sz="4" w:space="0"/>
            </w:tcBorders>
            <w:noWrap w:val="0"/>
            <w:vAlign w:val="center"/>
          </w:tcPr>
          <w:p w14:paraId="725747D4">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监理单位不按规定要求组织有关协调会议或专题会议，未按要求及时提交有关报表，不主动积极协调处理现场有关问题</w:t>
            </w:r>
          </w:p>
        </w:tc>
        <w:tc>
          <w:tcPr>
            <w:tcW w:w="2388" w:type="dxa"/>
            <w:tcBorders>
              <w:left w:val="single" w:color="auto" w:sz="4" w:space="0"/>
            </w:tcBorders>
            <w:noWrap w:val="0"/>
            <w:vAlign w:val="center"/>
          </w:tcPr>
          <w:p w14:paraId="168867E6">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扣罚1000元/次</w:t>
            </w:r>
          </w:p>
        </w:tc>
      </w:tr>
      <w:tr w14:paraId="622F0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667" w:type="dxa"/>
            <w:tcBorders>
              <w:right w:val="single" w:color="auto" w:sz="4" w:space="0"/>
            </w:tcBorders>
            <w:noWrap w:val="0"/>
            <w:vAlign w:val="center"/>
          </w:tcPr>
          <w:p w14:paraId="752D836C">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8.</w:t>
            </w:r>
          </w:p>
        </w:tc>
        <w:tc>
          <w:tcPr>
            <w:tcW w:w="6005" w:type="dxa"/>
            <w:tcBorders>
              <w:left w:val="single" w:color="auto" w:sz="4" w:space="0"/>
              <w:right w:val="single" w:color="auto" w:sz="4" w:space="0"/>
            </w:tcBorders>
            <w:noWrap w:val="0"/>
            <w:vAlign w:val="center"/>
          </w:tcPr>
          <w:p w14:paraId="52B84E05">
            <w:pPr>
              <w:adjustRightInd w:val="0"/>
              <w:snapToGrid w:val="0"/>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监理单位不认真履行职责，现场签证不符合实际</w:t>
            </w:r>
          </w:p>
        </w:tc>
        <w:tc>
          <w:tcPr>
            <w:tcW w:w="2388" w:type="dxa"/>
            <w:tcBorders>
              <w:left w:val="single" w:color="auto" w:sz="4" w:space="0"/>
            </w:tcBorders>
            <w:noWrap w:val="0"/>
            <w:vAlign w:val="center"/>
          </w:tcPr>
          <w:p w14:paraId="48ACBBA7">
            <w:pPr>
              <w:adjustRightInd w:val="0"/>
              <w:snapToGrid w:val="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扣罚1000-5000元/次</w:t>
            </w:r>
          </w:p>
        </w:tc>
      </w:tr>
      <w:tr w14:paraId="66906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667" w:type="dxa"/>
            <w:tcBorders>
              <w:right w:val="single" w:color="auto" w:sz="4" w:space="0"/>
            </w:tcBorders>
            <w:noWrap w:val="0"/>
            <w:vAlign w:val="center"/>
          </w:tcPr>
          <w:p w14:paraId="349FB460">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w:t>
            </w:r>
          </w:p>
        </w:tc>
        <w:tc>
          <w:tcPr>
            <w:tcW w:w="6005" w:type="dxa"/>
            <w:tcBorders>
              <w:left w:val="single" w:color="auto" w:sz="4" w:space="0"/>
              <w:right w:val="single" w:color="auto" w:sz="4" w:space="0"/>
            </w:tcBorders>
            <w:noWrap w:val="0"/>
            <w:vAlign w:val="center"/>
          </w:tcPr>
          <w:p w14:paraId="538C47AE">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监理单位现场相关管理制度不健全</w:t>
            </w:r>
          </w:p>
        </w:tc>
        <w:tc>
          <w:tcPr>
            <w:tcW w:w="2388" w:type="dxa"/>
            <w:tcBorders>
              <w:left w:val="single" w:color="auto" w:sz="4" w:space="0"/>
            </w:tcBorders>
            <w:noWrap w:val="0"/>
            <w:vAlign w:val="center"/>
          </w:tcPr>
          <w:p w14:paraId="5A9BD9F8">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扣罚1万元/次。</w:t>
            </w:r>
          </w:p>
        </w:tc>
      </w:tr>
      <w:tr w14:paraId="3302B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667" w:type="dxa"/>
            <w:tcBorders>
              <w:right w:val="single" w:color="auto" w:sz="4" w:space="0"/>
            </w:tcBorders>
            <w:noWrap w:val="0"/>
            <w:vAlign w:val="center"/>
          </w:tcPr>
          <w:p w14:paraId="692AE3A4">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10.</w:t>
            </w:r>
          </w:p>
        </w:tc>
        <w:tc>
          <w:tcPr>
            <w:tcW w:w="6005" w:type="dxa"/>
            <w:tcBorders>
              <w:left w:val="single" w:color="auto" w:sz="4" w:space="0"/>
              <w:right w:val="single" w:color="auto" w:sz="4" w:space="0"/>
            </w:tcBorders>
            <w:noWrap w:val="0"/>
            <w:vAlign w:val="center"/>
          </w:tcPr>
          <w:p w14:paraId="3AD507D7">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监理单位未对进场的施工设备、特种设备进行验证</w:t>
            </w:r>
          </w:p>
        </w:tc>
        <w:tc>
          <w:tcPr>
            <w:tcW w:w="2388" w:type="dxa"/>
            <w:tcBorders>
              <w:left w:val="single" w:color="auto" w:sz="4" w:space="0"/>
            </w:tcBorders>
            <w:noWrap w:val="0"/>
            <w:vAlign w:val="center"/>
          </w:tcPr>
          <w:p w14:paraId="223AB460">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扣罚1万元/次。</w:t>
            </w:r>
          </w:p>
        </w:tc>
      </w:tr>
      <w:tr w14:paraId="4944F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667" w:type="dxa"/>
            <w:tcBorders>
              <w:right w:val="single" w:color="auto" w:sz="4" w:space="0"/>
            </w:tcBorders>
            <w:noWrap w:val="0"/>
            <w:vAlign w:val="center"/>
          </w:tcPr>
          <w:p w14:paraId="27869F32">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11.</w:t>
            </w:r>
          </w:p>
        </w:tc>
        <w:tc>
          <w:tcPr>
            <w:tcW w:w="6005" w:type="dxa"/>
            <w:tcBorders>
              <w:left w:val="single" w:color="auto" w:sz="4" w:space="0"/>
              <w:right w:val="single" w:color="auto" w:sz="4" w:space="0"/>
            </w:tcBorders>
            <w:noWrap w:val="0"/>
            <w:vAlign w:val="center"/>
          </w:tcPr>
          <w:p w14:paraId="6B821ADC">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监理单位未对特种设备操作人员持证情况进行验证并保存记录</w:t>
            </w:r>
          </w:p>
        </w:tc>
        <w:tc>
          <w:tcPr>
            <w:tcW w:w="2388" w:type="dxa"/>
            <w:tcBorders>
              <w:left w:val="single" w:color="auto" w:sz="4" w:space="0"/>
            </w:tcBorders>
            <w:noWrap w:val="0"/>
            <w:vAlign w:val="center"/>
          </w:tcPr>
          <w:p w14:paraId="1000EF93">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扣罚1万元/次。</w:t>
            </w:r>
          </w:p>
        </w:tc>
      </w:tr>
      <w:tr w14:paraId="7AC76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jc w:val="center"/>
        </w:trPr>
        <w:tc>
          <w:tcPr>
            <w:tcW w:w="667" w:type="dxa"/>
            <w:tcBorders>
              <w:right w:val="single" w:color="auto" w:sz="4" w:space="0"/>
            </w:tcBorders>
            <w:noWrap w:val="0"/>
            <w:vAlign w:val="center"/>
          </w:tcPr>
          <w:p w14:paraId="797A1F06">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12.</w:t>
            </w:r>
          </w:p>
        </w:tc>
        <w:tc>
          <w:tcPr>
            <w:tcW w:w="6005" w:type="dxa"/>
            <w:tcBorders>
              <w:left w:val="single" w:color="auto" w:sz="4" w:space="0"/>
              <w:right w:val="single" w:color="auto" w:sz="4" w:space="0"/>
            </w:tcBorders>
            <w:noWrap w:val="0"/>
            <w:vAlign w:val="center"/>
          </w:tcPr>
          <w:p w14:paraId="2AF0A9B4">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监理单位管理档案或档案资料不完整或与实际情况不符</w:t>
            </w:r>
          </w:p>
        </w:tc>
        <w:tc>
          <w:tcPr>
            <w:tcW w:w="2388" w:type="dxa"/>
            <w:tcBorders>
              <w:left w:val="single" w:color="auto" w:sz="4" w:space="0"/>
            </w:tcBorders>
            <w:noWrap w:val="0"/>
            <w:vAlign w:val="center"/>
          </w:tcPr>
          <w:p w14:paraId="048A8B9A">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扣罚2000元/次。</w:t>
            </w:r>
          </w:p>
        </w:tc>
      </w:tr>
      <w:tr w14:paraId="25262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7" w:type="dxa"/>
            <w:tcBorders>
              <w:right w:val="single" w:color="auto" w:sz="4" w:space="0"/>
            </w:tcBorders>
            <w:noWrap w:val="0"/>
            <w:vAlign w:val="center"/>
          </w:tcPr>
          <w:p w14:paraId="26655506">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13.</w:t>
            </w:r>
          </w:p>
        </w:tc>
        <w:tc>
          <w:tcPr>
            <w:tcW w:w="6005" w:type="dxa"/>
            <w:tcBorders>
              <w:left w:val="single" w:color="auto" w:sz="4" w:space="0"/>
              <w:right w:val="single" w:color="auto" w:sz="4" w:space="0"/>
            </w:tcBorders>
            <w:noWrap w:val="0"/>
            <w:vAlign w:val="center"/>
          </w:tcPr>
          <w:p w14:paraId="652B528C">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监理单位未动态核查进场分包商的人员、机具配备、技术管理等施工能力。</w:t>
            </w:r>
          </w:p>
        </w:tc>
        <w:tc>
          <w:tcPr>
            <w:tcW w:w="2388" w:type="dxa"/>
            <w:tcBorders>
              <w:left w:val="single" w:color="auto" w:sz="4" w:space="0"/>
            </w:tcBorders>
            <w:noWrap w:val="0"/>
            <w:vAlign w:val="center"/>
          </w:tcPr>
          <w:p w14:paraId="3910C5F8">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扣罚2000元/次。</w:t>
            </w:r>
          </w:p>
        </w:tc>
      </w:tr>
      <w:tr w14:paraId="32ED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7" w:type="dxa"/>
            <w:tcBorders>
              <w:right w:val="single" w:color="auto" w:sz="4" w:space="0"/>
            </w:tcBorders>
            <w:noWrap w:val="0"/>
            <w:vAlign w:val="center"/>
          </w:tcPr>
          <w:p w14:paraId="15D50DCA">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14.</w:t>
            </w:r>
          </w:p>
        </w:tc>
        <w:tc>
          <w:tcPr>
            <w:tcW w:w="6005" w:type="dxa"/>
            <w:tcBorders>
              <w:left w:val="single" w:color="auto" w:sz="4" w:space="0"/>
              <w:right w:val="single" w:color="auto" w:sz="4" w:space="0"/>
            </w:tcBorders>
            <w:noWrap w:val="0"/>
            <w:vAlign w:val="center"/>
          </w:tcPr>
          <w:p w14:paraId="54DB0DAA">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对施工过程的重要部位和关键作业工序没有跟踪旁站，考核监理单位</w:t>
            </w:r>
          </w:p>
        </w:tc>
        <w:tc>
          <w:tcPr>
            <w:tcW w:w="2388" w:type="dxa"/>
            <w:tcBorders>
              <w:left w:val="single" w:color="auto" w:sz="4" w:space="0"/>
            </w:tcBorders>
            <w:noWrap w:val="0"/>
            <w:vAlign w:val="center"/>
          </w:tcPr>
          <w:p w14:paraId="7D5ACBC7">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扣罚1000元/次</w:t>
            </w:r>
          </w:p>
        </w:tc>
      </w:tr>
      <w:tr w14:paraId="2C1FD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jc w:val="center"/>
        </w:trPr>
        <w:tc>
          <w:tcPr>
            <w:tcW w:w="667" w:type="dxa"/>
            <w:tcBorders>
              <w:right w:val="single" w:color="auto" w:sz="4" w:space="0"/>
            </w:tcBorders>
            <w:noWrap w:val="0"/>
            <w:vAlign w:val="center"/>
          </w:tcPr>
          <w:p w14:paraId="3B6004FF">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15.</w:t>
            </w:r>
          </w:p>
        </w:tc>
        <w:tc>
          <w:tcPr>
            <w:tcW w:w="6005" w:type="dxa"/>
            <w:tcBorders>
              <w:left w:val="single" w:color="auto" w:sz="4" w:space="0"/>
              <w:right w:val="single" w:color="auto" w:sz="4" w:space="0"/>
            </w:tcBorders>
            <w:noWrap w:val="0"/>
            <w:vAlign w:val="center"/>
          </w:tcPr>
          <w:p w14:paraId="21AEBD6E">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现场见证点（W点）、停工待检点（H点）没有进行现场验证，考核监理单位</w:t>
            </w:r>
          </w:p>
        </w:tc>
        <w:tc>
          <w:tcPr>
            <w:tcW w:w="2388" w:type="dxa"/>
            <w:tcBorders>
              <w:left w:val="single" w:color="auto" w:sz="4" w:space="0"/>
            </w:tcBorders>
            <w:noWrap w:val="0"/>
            <w:vAlign w:val="center"/>
          </w:tcPr>
          <w:p w14:paraId="51EA1D0F">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扣罚500元-1000元/次</w:t>
            </w:r>
          </w:p>
        </w:tc>
      </w:tr>
      <w:tr w14:paraId="4A172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7" w:type="dxa"/>
            <w:tcBorders>
              <w:right w:val="single" w:color="auto" w:sz="4" w:space="0"/>
            </w:tcBorders>
            <w:noWrap w:val="0"/>
            <w:vAlign w:val="center"/>
          </w:tcPr>
          <w:p w14:paraId="6E69AC3A">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16.</w:t>
            </w:r>
          </w:p>
        </w:tc>
        <w:tc>
          <w:tcPr>
            <w:tcW w:w="6005" w:type="dxa"/>
            <w:tcBorders>
              <w:left w:val="single" w:color="auto" w:sz="4" w:space="0"/>
              <w:right w:val="single" w:color="auto" w:sz="4" w:space="0"/>
            </w:tcBorders>
            <w:noWrap w:val="0"/>
            <w:vAlign w:val="center"/>
          </w:tcPr>
          <w:p w14:paraId="2B22416C">
            <w:pPr>
              <w:spacing w:line="44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未做好工序交接检查工作，上道工序未经检查验收而进行下道工序，停工待检点未签字就进入下一道工序者，考核监理单位</w:t>
            </w:r>
          </w:p>
        </w:tc>
        <w:tc>
          <w:tcPr>
            <w:tcW w:w="2388" w:type="dxa"/>
            <w:tcBorders>
              <w:left w:val="single" w:color="auto" w:sz="4" w:space="0"/>
            </w:tcBorders>
            <w:noWrap w:val="0"/>
            <w:vAlign w:val="center"/>
          </w:tcPr>
          <w:p w14:paraId="43013CF6">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扣罚1000元/次</w:t>
            </w:r>
          </w:p>
        </w:tc>
      </w:tr>
      <w:tr w14:paraId="7EB6D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7" w:type="dxa"/>
            <w:tcBorders>
              <w:right w:val="single" w:color="auto" w:sz="4" w:space="0"/>
            </w:tcBorders>
            <w:noWrap w:val="0"/>
            <w:vAlign w:val="center"/>
          </w:tcPr>
          <w:p w14:paraId="26D297E2">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17.</w:t>
            </w:r>
          </w:p>
        </w:tc>
        <w:tc>
          <w:tcPr>
            <w:tcW w:w="6005" w:type="dxa"/>
            <w:tcBorders>
              <w:left w:val="single" w:color="auto" w:sz="4" w:space="0"/>
              <w:right w:val="single" w:color="auto" w:sz="4" w:space="0"/>
            </w:tcBorders>
            <w:noWrap w:val="0"/>
            <w:vAlign w:val="center"/>
          </w:tcPr>
          <w:p w14:paraId="5404FA65">
            <w:pPr>
              <w:spacing w:line="440" w:lineRule="exac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监理单位人员蓄意与其他参建方人员发生不文明行为</w:t>
            </w:r>
          </w:p>
        </w:tc>
        <w:tc>
          <w:tcPr>
            <w:tcW w:w="2388" w:type="dxa"/>
            <w:tcBorders>
              <w:left w:val="single" w:color="auto" w:sz="4" w:space="0"/>
            </w:tcBorders>
            <w:noWrap w:val="0"/>
            <w:vAlign w:val="center"/>
          </w:tcPr>
          <w:p w14:paraId="35E236FC">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扣罚1000元/次</w:t>
            </w:r>
          </w:p>
        </w:tc>
      </w:tr>
      <w:tr w14:paraId="5C02E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7" w:type="dxa"/>
            <w:tcBorders>
              <w:right w:val="single" w:color="auto" w:sz="4" w:space="0"/>
            </w:tcBorders>
            <w:noWrap w:val="0"/>
            <w:vAlign w:val="center"/>
          </w:tcPr>
          <w:p w14:paraId="7663380D">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18.</w:t>
            </w:r>
          </w:p>
        </w:tc>
        <w:tc>
          <w:tcPr>
            <w:tcW w:w="6005" w:type="dxa"/>
            <w:tcBorders>
              <w:left w:val="single" w:color="auto" w:sz="4" w:space="0"/>
              <w:right w:val="single" w:color="auto" w:sz="4" w:space="0"/>
            </w:tcBorders>
            <w:noWrap w:val="0"/>
            <w:vAlign w:val="center"/>
          </w:tcPr>
          <w:p w14:paraId="6F1792D0">
            <w:pPr>
              <w:spacing w:line="440" w:lineRule="exac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监理单位人员履职不到位，未提出异议或提出异议未监督落实，造成质量问题、安全问题</w:t>
            </w:r>
          </w:p>
        </w:tc>
        <w:tc>
          <w:tcPr>
            <w:tcW w:w="2388" w:type="dxa"/>
            <w:tcBorders>
              <w:left w:val="single" w:color="auto" w:sz="4" w:space="0"/>
            </w:tcBorders>
            <w:noWrap w:val="0"/>
            <w:vAlign w:val="center"/>
          </w:tcPr>
          <w:p w14:paraId="2129FFB6">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扣罚2000元/次</w:t>
            </w:r>
          </w:p>
        </w:tc>
      </w:tr>
      <w:tr w14:paraId="3346A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7" w:type="dxa"/>
            <w:tcBorders>
              <w:right w:val="single" w:color="auto" w:sz="4" w:space="0"/>
            </w:tcBorders>
            <w:noWrap w:val="0"/>
            <w:vAlign w:val="center"/>
          </w:tcPr>
          <w:p w14:paraId="7C05AB81">
            <w:pPr>
              <w:widowControl w:val="0"/>
              <w:adjustRightInd w:val="0"/>
              <w:snapToGrid w:val="0"/>
              <w:spacing w:before="158" w:line="440" w:lineRule="exact"/>
              <w:ind w:left="0" w:firstLine="0"/>
              <w:jc w:val="center"/>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19.</w:t>
            </w:r>
          </w:p>
        </w:tc>
        <w:tc>
          <w:tcPr>
            <w:tcW w:w="6005" w:type="dxa"/>
            <w:tcBorders>
              <w:left w:val="single" w:color="auto" w:sz="4" w:space="0"/>
              <w:right w:val="single" w:color="auto" w:sz="4" w:space="0"/>
            </w:tcBorders>
            <w:noWrap w:val="0"/>
            <w:vAlign w:val="center"/>
          </w:tcPr>
          <w:p w14:paraId="2313BD2F">
            <w:pPr>
              <w:spacing w:line="440" w:lineRule="exac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监理单位人员履职不到位，造成质量问题及缺陷，且未组织、监督整改及消缺。</w:t>
            </w:r>
          </w:p>
        </w:tc>
        <w:tc>
          <w:tcPr>
            <w:tcW w:w="2388" w:type="dxa"/>
            <w:tcBorders>
              <w:left w:val="single" w:color="auto" w:sz="4" w:space="0"/>
            </w:tcBorders>
            <w:noWrap w:val="0"/>
            <w:vAlign w:val="center"/>
          </w:tcPr>
          <w:p w14:paraId="1AF3A5A2">
            <w:pPr>
              <w:spacing w:line="36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扣罚1000元/次</w:t>
            </w:r>
          </w:p>
        </w:tc>
      </w:tr>
    </w:tbl>
    <w:p w14:paraId="1F875076">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he-IL"/>
        </w:rPr>
        <w:t>2.6考核说明：</w:t>
      </w:r>
    </w:p>
    <w:p w14:paraId="5A73FF24">
      <w:pPr>
        <w:keepNext w:val="0"/>
        <w:keepLines w:val="0"/>
        <w:pageBreakBefore w:val="0"/>
        <w:widowControl w:val="0"/>
        <w:numPr>
          <w:ilvl w:val="0"/>
          <w:numId w:val="5"/>
        </w:numPr>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color w:val="auto"/>
          <w:kern w:val="2"/>
          <w:sz w:val="28"/>
          <w:szCs w:val="28"/>
          <w:highlight w:val="none"/>
          <w:lang w:val="en-US" w:eastAsia="zh-CN" w:bidi="he-IL"/>
        </w:rPr>
      </w:pPr>
      <w:r>
        <w:rPr>
          <w:rFonts w:hint="eastAsia" w:ascii="仿宋_GB2312" w:hAnsi="仿宋_GB2312" w:eastAsia="仿宋_GB2312" w:cs="仿宋_GB2312"/>
          <w:b/>
          <w:color w:val="auto"/>
          <w:kern w:val="2"/>
          <w:sz w:val="28"/>
          <w:szCs w:val="28"/>
          <w:highlight w:val="none"/>
          <w:lang w:val="en-US" w:eastAsia="zh-CN" w:bidi="he-IL"/>
        </w:rPr>
        <w:t>上述考核条款约束事项按照就高执行原则执行；</w:t>
      </w:r>
    </w:p>
    <w:p w14:paraId="4E9B4C85">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color w:val="auto"/>
          <w:kern w:val="2"/>
          <w:sz w:val="28"/>
          <w:szCs w:val="28"/>
          <w:highlight w:val="none"/>
          <w:lang w:val="en-US" w:eastAsia="zh-CN" w:bidi="ar-SA"/>
        </w:rPr>
      </w:pPr>
      <w:r>
        <w:rPr>
          <w:rFonts w:hint="eastAsia" w:ascii="仿宋_GB2312" w:hAnsi="仿宋_GB2312" w:eastAsia="仿宋_GB2312" w:cs="仿宋_GB2312"/>
          <w:b/>
          <w:color w:val="auto"/>
          <w:kern w:val="2"/>
          <w:sz w:val="28"/>
          <w:szCs w:val="28"/>
          <w:highlight w:val="none"/>
          <w:lang w:val="en-US" w:eastAsia="zh-CN" w:bidi="he-IL"/>
        </w:rPr>
        <w:t>（2）未明确事项按照建设单位相关制度执行。</w:t>
      </w:r>
    </w:p>
    <w:p w14:paraId="6F4C4893">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color w:val="auto"/>
          <w:kern w:val="2"/>
          <w:sz w:val="21"/>
          <w:szCs w:val="21"/>
          <w:highlight w:val="none"/>
          <w:lang w:val="en-US" w:eastAsia="zh-CN" w:bidi="ar-SA"/>
        </w:rPr>
      </w:pPr>
    </w:p>
    <w:p w14:paraId="25973DAC">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color w:val="auto"/>
          <w:kern w:val="2"/>
          <w:sz w:val="21"/>
          <w:szCs w:val="21"/>
          <w:highlight w:val="none"/>
          <w:lang w:val="en-US" w:eastAsia="zh-CN" w:bidi="ar-SA"/>
        </w:rPr>
      </w:pPr>
    </w:p>
    <w:p w14:paraId="24527DA0">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br w:type="page"/>
      </w:r>
      <w:r>
        <w:rPr>
          <w:rFonts w:hint="eastAsia" w:ascii="宋体" w:hAnsi="宋体" w:eastAsia="宋体" w:cs="宋体"/>
          <w:b/>
          <w:color w:val="auto"/>
          <w:kern w:val="2"/>
          <w:sz w:val="21"/>
          <w:szCs w:val="21"/>
          <w:highlight w:val="none"/>
          <w:lang w:val="en-US" w:eastAsia="zh-CN" w:bidi="ar-SA"/>
        </w:rPr>
        <w:t xml:space="preserve">附件2：        </w:t>
      </w:r>
    </w:p>
    <w:p w14:paraId="0BFB524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本工程对监理人员配备及其素质的基本要求</w:t>
      </w:r>
    </w:p>
    <w:p w14:paraId="2E092069">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bookmarkStart w:id="10" w:name="_Toc43885676"/>
      <w:r>
        <w:rPr>
          <w:rFonts w:hint="eastAsia" w:ascii="仿宋_GB2312" w:hAnsi="仿宋_GB2312" w:eastAsia="仿宋_GB2312" w:cs="仿宋_GB2312"/>
          <w:color w:val="auto"/>
          <w:sz w:val="28"/>
          <w:szCs w:val="28"/>
          <w:lang w:val="en-US" w:eastAsia="zh-CN"/>
        </w:rPr>
        <w:t>监理单位派驻本项目的监理人员在岗人数应按建设单位审定的监理计划进场，监理单位增加或减少监理人员时应报建设单位审核批准，建设单位有权要求监理单位根据工程进度增加或减少在岗监理人员。另外，监理人员的配置以满足工程建设需要为准，建设单位有权要求辞退无法胜任监理岗位的监理人员，监理单位须无条件执行。</w:t>
      </w:r>
    </w:p>
    <w:p w14:paraId="25E836D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所有监理人员必须持有相关专业的监理资质证书，</w:t>
      </w:r>
      <w:r>
        <w:rPr>
          <w:rFonts w:hint="eastAsia" w:ascii="仿宋_GB2312" w:hAnsi="仿宋_GB2312" w:eastAsia="仿宋_GB2312" w:cs="仿宋_GB2312"/>
          <w:color w:val="auto"/>
          <w:sz w:val="28"/>
          <w:szCs w:val="28"/>
          <w:lang w:eastAsia="zh-CN"/>
        </w:rPr>
        <w:t>应配备</w:t>
      </w:r>
      <w:r>
        <w:rPr>
          <w:rFonts w:hint="eastAsia" w:ascii="仿宋_GB2312" w:hAnsi="仿宋_GB2312" w:eastAsia="仿宋_GB2312" w:cs="仿宋_GB2312"/>
          <w:color w:val="auto"/>
          <w:sz w:val="28"/>
          <w:szCs w:val="28"/>
          <w:lang w:val="en-US" w:eastAsia="zh-CN"/>
        </w:rPr>
        <w:t>项目总监理工程师和总监理工程师代表各1名，总监理工程师必须为国家级注册监理工程师，并持有国家级注册监理工程师证书。</w:t>
      </w:r>
    </w:p>
    <w:p w14:paraId="0CA19F8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应配备</w:t>
      </w:r>
      <w:r>
        <w:rPr>
          <w:rFonts w:hint="eastAsia" w:ascii="仿宋_GB2312" w:hAnsi="仿宋_GB2312" w:eastAsia="仿宋_GB2312" w:cs="仿宋_GB2312"/>
          <w:color w:val="auto"/>
          <w:sz w:val="28"/>
          <w:szCs w:val="28"/>
          <w:lang w:val="en-US" w:eastAsia="zh-CN"/>
        </w:rPr>
        <w:t>满足工程建设需要土建专业监理工程师不少于3名，机电安装工程监理工程师不少于3名（根据工程进展随时增加人员），专职安全监理工程师1名，监理员2名，专职资料管理人员1名。</w:t>
      </w:r>
    </w:p>
    <w:p w14:paraId="0346DAE3">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总监近三年应具有同类矿井及选煤厂项目监理经验，应具有国家注册监理工程师资质，应与监理人有正式劳动关系（提供总监理工程师的劳动合同和社保证明材料）。在本工程进行期间不得同时任职其他工程，项目执行过程中未经委托人同意不得擅自离开工地。</w:t>
      </w:r>
    </w:p>
    <w:p w14:paraId="08BD2F6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拟投入本合同实施的监理人员结构合理、数量充足、经验丰富、作风正派，监理人员均具有监理工程师或监理员资格证书，具有同类工程建设监理业绩的监理人员数占总监理人员数的比例不少于50%。所有监理人员均应身体健康，且能够适应现场高强度工作，总监理工程师年龄不得超过60岁，其他监理人员的年龄不得超过55岁。煤矿将对以上人员的管理技术能力、服务质量进行评估，技术水平、服务质量不能满足煤矿要求者，监理单位应无条件进行更换。</w:t>
      </w:r>
    </w:p>
    <w:p w14:paraId="42F285A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rPr>
      </w:pPr>
    </w:p>
    <w:bookmarkEnd w:id="10"/>
    <w:p w14:paraId="732CBAB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附件3：</w:t>
      </w:r>
    </w:p>
    <w:p w14:paraId="78218D9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廉洁协议书</w:t>
      </w:r>
    </w:p>
    <w:p w14:paraId="53FB2CC5">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甲方：张掖青阳煤业有限公司</w:t>
      </w:r>
    </w:p>
    <w:p w14:paraId="53B4226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乙方：</w:t>
      </w:r>
    </w:p>
    <w:p w14:paraId="5FA9804B">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14:paraId="5E55AD9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第一条  甲、乙双方的共同责任</w:t>
      </w:r>
    </w:p>
    <w:p w14:paraId="50A1743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（一）严格遵守国家有关工程建设、物资采购等市场经济活动的法律法规、政策以及廉政建设规定。</w:t>
      </w:r>
    </w:p>
    <w:p w14:paraId="0AA47C32">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（二）严格履行合同约定，自觉承担合同义务。</w:t>
      </w:r>
    </w:p>
    <w:p w14:paraId="4A4A9071">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（三）业务活动必须坚持公平、公正、公开和诚实守信的原则（除法律法规另有规定者外），不得为获取不正当利益损害国家、集体和对方利益，不违反工程建设管理、物资采购等方面的规章制度。</w:t>
      </w:r>
    </w:p>
    <w:p w14:paraId="0BCFBB6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（四）建立健全自我制约制度，开展廉洁教育，公布举报电话，监督并认真查处违法违纪行为。</w:t>
      </w:r>
    </w:p>
    <w:p w14:paraId="7838987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（五）发现对方在业务活动中有违规、违纪、违法行为的，应及时提醒对方，情节严重的，应向有关纪检监察部门举报。</w:t>
      </w:r>
    </w:p>
    <w:p w14:paraId="59688A60">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第二条  甲方的责任：</w:t>
      </w:r>
    </w:p>
    <w:p w14:paraId="38F67C94">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甲方相关工作人员，在业务活动的事前、事中、事后，应遵守以下规定：</w:t>
      </w:r>
    </w:p>
    <w:p w14:paraId="6D1E939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（一）贯彻落实张掖青阳煤业有限公司有关党风廉政建设责任制及廉洁从业的规定，建立企业诚信档案； </w:t>
      </w:r>
    </w:p>
    <w:p w14:paraId="3EE6811B">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（二）按照公平、公正、公开和诚实守信的原则开展各项业务活动，为乙方提供公平的竞争环境与平台； </w:t>
      </w:r>
    </w:p>
    <w:p w14:paraId="2AFCBB8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（三）不向乙方泄漏涉及有关业务活动的秘密； </w:t>
      </w:r>
    </w:p>
    <w:p w14:paraId="53F66A0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（四）不参与影响相关工作正常和公正开展的其他活动；</w:t>
      </w:r>
    </w:p>
    <w:p w14:paraId="6608B17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（五）不在乙方和相关单位报销任何应由甲方或个人支付的费用；</w:t>
      </w:r>
    </w:p>
    <w:p w14:paraId="3D8F8B7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（六）不要求、暗示及接受乙方和相关单位为个人装修住房、婚丧嫁娶、配偶子女的工作安排以及境内外旅游等提供方便；</w:t>
      </w:r>
    </w:p>
    <w:p w14:paraId="34044BC3">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（七）不收受或索取红包、礼金、购物卡、有价证券、贵重物品、感谢费和好处费等非正当利益；</w:t>
      </w:r>
    </w:p>
    <w:p w14:paraId="30847E6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（八）不向乙方介绍配偶、子女、亲属参与与甲方有关的经济活动，不得以任何理由向乙方和相关单位推荐第三方单位；</w:t>
      </w:r>
    </w:p>
    <w:p w14:paraId="7E94BF2B">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（九）不违反《中共中央纪委关于严格禁止利用职务上的便利谋取不正当利益的若干规定》的内容。</w:t>
      </w:r>
    </w:p>
    <w:p w14:paraId="49E289BF">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第三条  乙方的责任：</w:t>
      </w:r>
    </w:p>
    <w:p w14:paraId="2860355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在与甲方业务交往过程中，按照有关法律法规和程序开展工作，严格执行国家的有关方针、政策，并遵守以下规定：</w:t>
      </w:r>
    </w:p>
    <w:p w14:paraId="222DE58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（一）不以任何理由为甲方和相关单位报销应由对方或个人支付的费用；</w:t>
      </w:r>
    </w:p>
    <w:p w14:paraId="78FC6C81">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（二）不以任何理由向甲方负责人及其工作人员赠送红包、礼金、购物卡、有价证券、贵重物品、感谢费和好处费等非正当利益；</w:t>
      </w:r>
    </w:p>
    <w:p w14:paraId="70A8092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（三）不准为甲方、与甲方相关的单位或个人装修住房、婚丧嫁取、配偶子女的工作安排以及境内外旅游等提供方便；</w:t>
      </w:r>
    </w:p>
    <w:p w14:paraId="5B33C02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（四）不得以谋取非正当利益为目的，擅自与甲方工作人员就业务问题进行私下商谈或者达成利益默契；</w:t>
      </w:r>
    </w:p>
    <w:p w14:paraId="318FE32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（五）发现甲方工作人员有违反本廉洁协议书规定的，应向甲方单位举报。</w:t>
      </w:r>
    </w:p>
    <w:p w14:paraId="617D58D5">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第四条  相关责任</w:t>
      </w:r>
    </w:p>
    <w:p w14:paraId="4424EE67">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（一）甲方违反本廉洁协议书第一、二条规定的，一经查实，严格按照管理权限，依据有关党纪、法律法规、规章制度给予纪律处分或组织处理；涉嫌犯罪的，移送司法机关依法追究刑事责任。</w:t>
      </w:r>
    </w:p>
    <w:p w14:paraId="382E9F33">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（二）乙方违反本廉洁协议书第一、三条规定的，一经查实，根据张掖青阳煤业有限公司和其他有关规定，对乙方进行处理。涉嫌犯罪的，移送司法机关依法追究刑事责任。</w:t>
      </w:r>
    </w:p>
    <w:p w14:paraId="3AF820F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（三）乙方违反本廉洁协议书第一、三条规定，给甲方单位造成经济损失的，应依法予以赔偿。</w:t>
      </w:r>
    </w:p>
    <w:p w14:paraId="0A25D464">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第五条  协议书生效及法律效力</w:t>
      </w:r>
    </w:p>
    <w:p w14:paraId="01277BAF">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（一）本廉洁协议书经双方签字盖章后生效。</w:t>
      </w:r>
    </w:p>
    <w:p w14:paraId="53C0028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（二）除非甲乙双方另行签订新的廉洁协议书，否则本廉洁协议书在甲方与乙方存在业务关系期间均对双方产生约束力。</w:t>
      </w:r>
    </w:p>
    <w:p w14:paraId="200030C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295159B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690E93F9">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0465B3D4">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25A4DAB6">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甲方：（盖章）                    乙方：（盖章）</w:t>
      </w:r>
    </w:p>
    <w:p w14:paraId="21E57481">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张掖青阳煤业有限公司          </w:t>
      </w:r>
    </w:p>
    <w:p w14:paraId="5B5EBA5A">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2D4FF57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1FB5AF92">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法人代表（或其招标人）：           法人代表（或其招标人）：</w:t>
      </w:r>
    </w:p>
    <w:p w14:paraId="72854EEE">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05173CA2">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签订时间：                        签订时间：</w:t>
      </w:r>
    </w:p>
    <w:p w14:paraId="1582B6F8">
      <w:pPr>
        <w:pageBreakBefore w:val="0"/>
        <w:kinsoku/>
        <w:wordWrap/>
        <w:overflowPunct/>
        <w:topLinePunct w:val="0"/>
        <w:autoSpaceDE/>
        <w:autoSpaceDN/>
        <w:bidi w:val="0"/>
        <w:spacing w:line="360" w:lineRule="auto"/>
        <w:ind w:left="0" w:leftChars="0" w:firstLine="560" w:firstLineChars="200"/>
        <w:textAlignment w:val="auto"/>
        <w:rPr>
          <w:rFonts w:hint="eastAsia" w:ascii="仿宋_GB2312" w:hAnsi="仿宋_GB2312" w:eastAsia="仿宋_GB2312" w:cs="仿宋_GB2312"/>
          <w:color w:val="auto"/>
          <w:sz w:val="28"/>
          <w:szCs w:val="28"/>
          <w:lang w:val="en-US" w:eastAsia="zh-CN"/>
        </w:rPr>
      </w:pPr>
    </w:p>
    <w:p w14:paraId="5FB1270A">
      <w:pPr>
        <w:rPr>
          <w:color w:val="auto"/>
        </w:rPr>
      </w:pPr>
    </w:p>
    <w:bookmarkEnd w:id="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F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535753-53ED-4BDF-ABF1-402F1FA439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DE96229-B54B-4187-8A06-8C4F78B9137F}"/>
  </w:font>
  <w:font w:name="仿宋_GB2312">
    <w:altName w:val="仿宋"/>
    <w:panose1 w:val="02010609030101010101"/>
    <w:charset w:val="86"/>
    <w:family w:val="auto"/>
    <w:pitch w:val="default"/>
    <w:sig w:usb0="00000000" w:usb1="00000000" w:usb2="00000000" w:usb3="00000000" w:csb0="00040000" w:csb1="00000000"/>
    <w:embedRegular r:id="rId3" w:fontKey="{64B76E2F-E537-4559-AF6B-7AB6D9140F2D}"/>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4" w:fontKey="{EDD83E77-8790-4900-AABB-AB494C0C2B19}"/>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5F555">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FC6ACB">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 MERGEFORMAT</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23</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AFC6ACB">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 MERGEFORMAT</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23</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p w14:paraId="5D7403E2">
    <w:pPr>
      <w:widowControl w:val="0"/>
      <w:spacing w:line="14" w:lineRule="auto"/>
      <w:jc w:val="both"/>
      <w:rPr>
        <w:rFonts w:ascii="Times New Roman" w:hAnsi="Times New Roman" w:eastAsia="宋体" w:cs="Times New Roman"/>
        <w:kern w:val="2"/>
        <w:sz w:val="20"/>
        <w:szCs w:val="20"/>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E652E">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02DD01">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 MERGEFORMAT</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78</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002DD01">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 MERGEFORMAT</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78</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p w14:paraId="2EE09535">
    <w:pPr>
      <w:widowControl w:val="0"/>
      <w:spacing w:line="14" w:lineRule="auto"/>
      <w:jc w:val="both"/>
      <w:rPr>
        <w:rFonts w:ascii="Times New Roman" w:hAnsi="Times New Roman" w:eastAsia="宋体" w:cs="Times New Roman"/>
        <w:kern w:val="2"/>
        <w:sz w:val="20"/>
        <w:szCs w:val="20"/>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07DD3F"/>
    <w:multiLevelType w:val="singleLevel"/>
    <w:tmpl w:val="A507DD3F"/>
    <w:lvl w:ilvl="0" w:tentative="0">
      <w:start w:val="1"/>
      <w:numFmt w:val="decimal"/>
      <w:suff w:val="nothing"/>
      <w:lvlText w:val="（%1）"/>
      <w:lvlJc w:val="left"/>
    </w:lvl>
  </w:abstractNum>
  <w:abstractNum w:abstractNumId="1">
    <w:nsid w:val="095C0BDE"/>
    <w:multiLevelType w:val="multilevel"/>
    <w:tmpl w:val="095C0BD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FC3D03D"/>
    <w:multiLevelType w:val="singleLevel"/>
    <w:tmpl w:val="0FC3D03D"/>
    <w:lvl w:ilvl="0" w:tentative="0">
      <w:start w:val="8"/>
      <w:numFmt w:val="decimal"/>
      <w:suff w:val="nothing"/>
      <w:lvlText w:val="%1．"/>
      <w:lvlJc w:val="left"/>
    </w:lvl>
  </w:abstractNum>
  <w:abstractNum w:abstractNumId="3">
    <w:nsid w:val="353C5D4C"/>
    <w:multiLevelType w:val="singleLevel"/>
    <w:tmpl w:val="353C5D4C"/>
    <w:lvl w:ilvl="0" w:tentative="0">
      <w:start w:val="5"/>
      <w:numFmt w:val="chineseCounting"/>
      <w:suff w:val="nothing"/>
      <w:lvlText w:val="%1、"/>
      <w:lvlJc w:val="left"/>
      <w:rPr>
        <w:rFonts w:hint="eastAsia"/>
      </w:rPr>
    </w:lvl>
  </w:abstractNum>
  <w:abstractNum w:abstractNumId="4">
    <w:nsid w:val="7E574CC1"/>
    <w:multiLevelType w:val="multilevel"/>
    <w:tmpl w:val="7E574CC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B01DDE"/>
    <w:rsid w:val="5BB01DDE"/>
    <w:rsid w:val="7E807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15858</Words>
  <Characters>16629</Characters>
  <Lines>0</Lines>
  <Paragraphs>0</Paragraphs>
  <TotalTime>0</TotalTime>
  <ScaleCrop>false</ScaleCrop>
  <LinksUpToDate>false</LinksUpToDate>
  <CharactersWithSpaces>17016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2026-08-20T13:38:00Z</dcterms:created>
  <dc:creator>联想</dc:creator>
  <cp:lastModifiedBy>联想</cp:lastModifiedBy>
  <dcterms:modified xsi:type="dcterms:W3CDTF">2026-08-21T02:39:29Z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D02A241E3C1E440298FCC120AE1AFF97_11</vt:lpwstr>
  </property>
  <property fmtid="{D5CDD505-2E9C-101B-9397-08002B2CF9AE}" pid="4" name="KSOTemplateDocerSaveRecord">
    <vt:lpwstr>eyJoZGlkIjoiYjE4NTcwOTZkZGQwYzA0YjM0ZmY5NWY2OTZhMWViMmQiLCJ1c2VySWQiOiI0MzQwNjk5NTgifQ==</vt:lpwstr>
  </property>
</Properties>
</file>