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69D040">
      <w:pPr>
        <w:numPr>
          <w:ilvl w:val="0"/>
          <w:numId w:val="1"/>
        </w:numPr>
        <w:spacing w:line="360" w:lineRule="auto"/>
        <w:rPr>
          <w:rFonts w:hint="eastAsia" w:ascii="宋体" w:hAnsi="宋体" w:eastAsia="宋体" w:cs="宋体"/>
          <w:b w:val="0"/>
          <w:bCs/>
          <w:sz w:val="24"/>
          <w:szCs w:val="24"/>
          <w:lang w:val="en-US" w:eastAsia="zh-CN"/>
        </w:rPr>
      </w:pPr>
      <w:r>
        <w:rPr>
          <w:rFonts w:hint="eastAsia" w:ascii="宋体" w:hAnsi="宋体" w:eastAsia="宋体" w:cs="宋体"/>
          <w:b/>
          <w:sz w:val="24"/>
          <w:szCs w:val="24"/>
        </w:rPr>
        <w:t xml:space="preserve">设备名称：     </w:t>
      </w:r>
      <w:r>
        <w:rPr>
          <w:rFonts w:hint="eastAsia" w:ascii="宋体" w:hAnsi="宋体" w:eastAsia="宋体" w:cs="宋体"/>
          <w:b w:val="0"/>
          <w:bCs/>
          <w:sz w:val="24"/>
          <w:szCs w:val="24"/>
          <w:lang w:val="en-US" w:eastAsia="zh-CN"/>
        </w:rPr>
        <w:t>DSJ120/120/2×315</w:t>
      </w:r>
      <w:r>
        <w:rPr>
          <w:rFonts w:hint="eastAsia" w:ascii="宋体" w:hAnsi="宋体" w:eastAsia="宋体" w:cs="宋体"/>
          <w:b w:val="0"/>
          <w:bCs/>
          <w:sz w:val="24"/>
          <w:szCs w:val="24"/>
          <w:lang w:eastAsia="zh-CN"/>
        </w:rPr>
        <w:t>带</w:t>
      </w:r>
      <w:r>
        <w:rPr>
          <w:rFonts w:hint="eastAsia" w:ascii="宋体" w:hAnsi="宋体" w:eastAsia="宋体" w:cs="宋体"/>
          <w:b w:val="0"/>
          <w:bCs/>
          <w:sz w:val="24"/>
          <w:szCs w:val="24"/>
          <w:lang w:val="en-US" w:eastAsia="zh-CN"/>
        </w:rPr>
        <w:t>式</w:t>
      </w:r>
      <w:r>
        <w:rPr>
          <w:rFonts w:hint="eastAsia" w:ascii="宋体" w:hAnsi="宋体" w:eastAsia="宋体" w:cs="宋体"/>
          <w:b w:val="0"/>
          <w:bCs/>
          <w:sz w:val="24"/>
          <w:szCs w:val="24"/>
          <w:lang w:eastAsia="zh-CN"/>
        </w:rPr>
        <w:t>输送机</w:t>
      </w:r>
      <w:r>
        <w:rPr>
          <w:rFonts w:hint="eastAsia" w:ascii="宋体" w:hAnsi="宋体" w:eastAsia="宋体" w:cs="宋体"/>
          <w:b w:val="0"/>
          <w:bCs/>
          <w:sz w:val="24"/>
          <w:szCs w:val="24"/>
          <w:lang w:val="en-US" w:eastAsia="zh-CN"/>
        </w:rPr>
        <w:t xml:space="preserve">   </w:t>
      </w:r>
    </w:p>
    <w:p w14:paraId="6A771948">
      <w:pPr>
        <w:numPr>
          <w:ilvl w:val="0"/>
          <w:numId w:val="0"/>
        </w:numPr>
        <w:spacing w:line="360" w:lineRule="auto"/>
        <w:rPr>
          <w:rFonts w:hint="eastAsia" w:ascii="宋体" w:hAnsi="宋体" w:eastAsia="宋体" w:cs="宋体"/>
          <w:b/>
          <w:sz w:val="24"/>
          <w:szCs w:val="24"/>
          <w:lang w:eastAsia="zh-CN"/>
        </w:rPr>
      </w:pPr>
      <w:r>
        <w:rPr>
          <w:rFonts w:hint="eastAsia" w:ascii="宋体" w:hAnsi="宋体" w:eastAsia="宋体" w:cs="宋体"/>
          <w:b/>
          <w:sz w:val="24"/>
          <w:szCs w:val="24"/>
        </w:rPr>
        <w:t xml:space="preserve">二、购置数量：    </w:t>
      </w:r>
      <w:r>
        <w:rPr>
          <w:rFonts w:hint="eastAsia" w:ascii="宋体" w:hAnsi="宋体" w:eastAsia="宋体" w:cs="宋体"/>
          <w:b w:val="0"/>
          <w:bCs/>
          <w:sz w:val="24"/>
          <w:szCs w:val="24"/>
        </w:rPr>
        <w:t xml:space="preserve"> </w:t>
      </w:r>
      <w:r>
        <w:rPr>
          <w:rFonts w:hint="eastAsia" w:ascii="宋体" w:hAnsi="宋体" w:eastAsia="宋体" w:cs="宋体"/>
          <w:b w:val="0"/>
          <w:bCs/>
          <w:sz w:val="24"/>
          <w:szCs w:val="24"/>
          <w:lang w:val="en-US" w:eastAsia="zh-CN"/>
        </w:rPr>
        <w:t>1</w:t>
      </w:r>
      <w:r>
        <w:rPr>
          <w:rFonts w:hint="eastAsia" w:ascii="宋体" w:hAnsi="宋体" w:eastAsia="宋体" w:cs="宋体"/>
          <w:b w:val="0"/>
          <w:bCs/>
          <w:sz w:val="24"/>
          <w:szCs w:val="24"/>
          <w:lang w:eastAsia="zh-CN"/>
        </w:rPr>
        <w:t>台</w:t>
      </w:r>
    </w:p>
    <w:p w14:paraId="6FDF5037">
      <w:pPr>
        <w:spacing w:line="360" w:lineRule="auto"/>
        <w:rPr>
          <w:rFonts w:hint="eastAsia" w:ascii="宋体" w:hAnsi="宋体" w:eastAsia="宋体" w:cs="宋体"/>
          <w:b/>
          <w:sz w:val="24"/>
          <w:szCs w:val="24"/>
        </w:rPr>
      </w:pPr>
      <w:r>
        <w:rPr>
          <w:rFonts w:hint="eastAsia" w:ascii="宋体" w:hAnsi="宋体" w:eastAsia="宋体" w:cs="宋体"/>
          <w:b/>
          <w:sz w:val="24"/>
          <w:szCs w:val="24"/>
        </w:rPr>
        <w:t xml:space="preserve">三、使用单位：     </w:t>
      </w:r>
    </w:p>
    <w:p w14:paraId="30169B6F">
      <w:pPr>
        <w:spacing w:line="360" w:lineRule="auto"/>
        <w:rPr>
          <w:rFonts w:ascii="宋体" w:hAnsi="宋体" w:eastAsia="宋体" w:cs="宋体"/>
          <w:b/>
          <w:sz w:val="24"/>
          <w:szCs w:val="24"/>
        </w:rPr>
      </w:pPr>
      <w:r>
        <w:rPr>
          <w:rFonts w:hint="eastAsia" w:ascii="宋体" w:hAnsi="宋体" w:eastAsia="宋体" w:cs="宋体"/>
          <w:b/>
          <w:sz w:val="24"/>
          <w:szCs w:val="24"/>
        </w:rPr>
        <w:t>四、设计及运行条件：</w:t>
      </w:r>
    </w:p>
    <w:p w14:paraId="79B2FAD4">
      <w:pPr>
        <w:spacing w:line="360" w:lineRule="auto"/>
        <w:ind w:firstLine="480" w:firstLineChars="200"/>
        <w:rPr>
          <w:rFonts w:hint="eastAsia" w:ascii="宋体" w:hAnsi="宋体" w:eastAsia="宋体" w:cs="宋体"/>
          <w:color w:val="FF0000"/>
          <w:sz w:val="24"/>
          <w:szCs w:val="24"/>
          <w:lang w:eastAsia="zh-CN"/>
        </w:rPr>
      </w:pPr>
      <w:r>
        <w:rPr>
          <w:rFonts w:hint="eastAsia" w:ascii="宋体" w:hAnsi="宋体" w:eastAsia="宋体" w:cs="宋体"/>
          <w:sz w:val="24"/>
          <w:szCs w:val="24"/>
        </w:rPr>
        <w:t>1.安装地点：</w:t>
      </w:r>
      <w:r>
        <w:rPr>
          <w:rFonts w:hint="eastAsia" w:ascii="宋体" w:hAnsi="宋体" w:eastAsia="宋体" w:cs="宋体"/>
          <w:color w:val="auto"/>
          <w:sz w:val="24"/>
          <w:szCs w:val="24"/>
        </w:rPr>
        <w:t>西307</w:t>
      </w:r>
      <w:r>
        <w:rPr>
          <w:rFonts w:hint="eastAsia" w:ascii="宋体" w:hAnsi="宋体" w:eastAsia="宋体" w:cs="宋体"/>
          <w:color w:val="auto"/>
          <w:sz w:val="24"/>
          <w:szCs w:val="24"/>
          <w:lang w:eastAsia="zh-CN"/>
        </w:rPr>
        <w:t>运输顺槽</w:t>
      </w:r>
    </w:p>
    <w:p w14:paraId="2F489131">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2.运输巷道最大倾角： 0-</w:t>
      </w:r>
      <w:r>
        <w:rPr>
          <w:rFonts w:hint="eastAsia" w:ascii="宋体" w:hAnsi="宋体" w:eastAsia="宋体" w:cs="宋体"/>
          <w:sz w:val="24"/>
          <w:szCs w:val="24"/>
          <w:lang w:val="en-US" w:eastAsia="zh-CN"/>
        </w:rPr>
        <w:t>25</w:t>
      </w:r>
      <w:r>
        <w:rPr>
          <w:rFonts w:hint="eastAsia" w:ascii="宋体" w:hAnsi="宋体" w:eastAsia="宋体" w:cs="宋体"/>
          <w:sz w:val="24"/>
          <w:szCs w:val="24"/>
        </w:rPr>
        <w:t>°  </w:t>
      </w:r>
    </w:p>
    <w:p w14:paraId="195931D2">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3.运输距离：</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1000米</w:t>
      </w:r>
    </w:p>
    <w:p w14:paraId="01D40CB7">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4.环境温度：          -10℃〜+30℃</w:t>
      </w:r>
    </w:p>
    <w:p w14:paraId="20F11C5E">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5.适用最大相对湿度：  95%</w:t>
      </w:r>
    </w:p>
    <w:p w14:paraId="0C78B399">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6.工作制度：连续工作制，年作业率在70%～90%</w:t>
      </w:r>
    </w:p>
    <w:p w14:paraId="13A7511F">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7.适用环境：有瓦斯煤尘或其他爆炸性气体环境矿井中。</w:t>
      </w:r>
    </w:p>
    <w:p w14:paraId="3F5BD9EA">
      <w:pPr>
        <w:widowControl/>
        <w:shd w:val="clear" w:color="auto" w:fill="FDFEFF"/>
        <w:spacing w:line="360" w:lineRule="auto"/>
        <w:jc w:val="left"/>
        <w:rPr>
          <w:rFonts w:ascii="宋体" w:hAnsi="宋体" w:eastAsia="宋体" w:cs="宋体"/>
          <w:b/>
          <w:kern w:val="0"/>
          <w:sz w:val="24"/>
          <w:szCs w:val="24"/>
        </w:rPr>
      </w:pPr>
      <w:r>
        <w:rPr>
          <w:rFonts w:hint="eastAsia" w:ascii="宋体" w:hAnsi="宋体" w:eastAsia="宋体" w:cs="宋体"/>
          <w:b/>
          <w:bCs/>
          <w:sz w:val="24"/>
          <w:szCs w:val="24"/>
        </w:rPr>
        <w:t>五、</w:t>
      </w:r>
      <w:r>
        <w:rPr>
          <w:rFonts w:hint="eastAsia" w:ascii="宋体" w:hAnsi="宋体" w:eastAsia="宋体" w:cs="宋体"/>
          <w:b/>
          <w:kern w:val="0"/>
          <w:sz w:val="24"/>
          <w:szCs w:val="24"/>
        </w:rPr>
        <w:t>设计制造和检验标准</w:t>
      </w:r>
    </w:p>
    <w:p w14:paraId="3E52F54C">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供货方采用的胶带输送机设计和制造应符合适用的中国最新版国家标准（GB）具有不低于下列标准的标准：</w:t>
      </w:r>
    </w:p>
    <w:p w14:paraId="1328610D">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GB/T 10595-2017  《带式输送机》</w:t>
      </w:r>
    </w:p>
    <w:p w14:paraId="02B690FE">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MT/T467-1996    《煤矿用带式输送机设计计算》</w:t>
      </w:r>
    </w:p>
    <w:p w14:paraId="263A53CB">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MT820-2000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《煤矿井下用带式输送机技术条件》</w:t>
      </w:r>
    </w:p>
    <w:p w14:paraId="2F93BA0F">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MT/T901-2000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《煤矿井下用可伸缩带式输送机技术条件》</w:t>
      </w:r>
    </w:p>
    <w:p w14:paraId="612BDBC4">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MT/T212-1990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《煤矿用输送机的成槽性》</w:t>
      </w:r>
    </w:p>
    <w:p w14:paraId="2C0D0B81">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MT/T400-1995</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《煤矿用带式输送机滚筒尺寸系列》</w:t>
      </w:r>
    </w:p>
    <w:p w14:paraId="544F365D">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MT654-1997</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《煤矿用带式输送机安全规程》</w:t>
      </w:r>
    </w:p>
    <w:p w14:paraId="745BBD7E">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MT/T656-1997</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《煤矿用带式输送机机架型式与基本尺寸》</w:t>
      </w:r>
    </w:p>
    <w:p w14:paraId="3A4773A6">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MT821-1999</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《煤矿井下用带式输送机托辊技术条件》</w:t>
      </w:r>
    </w:p>
    <w:p w14:paraId="074E14A4">
      <w:pPr>
        <w:spacing w:line="360" w:lineRule="auto"/>
        <w:ind w:left="2399" w:leftChars="228" w:hanging="1920" w:hangingChars="800"/>
        <w:rPr>
          <w:rFonts w:ascii="宋体" w:hAnsi="宋体" w:eastAsia="宋体" w:cs="宋体"/>
          <w:sz w:val="24"/>
          <w:szCs w:val="24"/>
        </w:rPr>
      </w:pPr>
      <w:r>
        <w:rPr>
          <w:rFonts w:hint="eastAsia" w:ascii="宋体" w:hAnsi="宋体" w:eastAsia="宋体" w:cs="宋体"/>
          <w:sz w:val="24"/>
          <w:szCs w:val="24"/>
        </w:rPr>
        <w:t>MT113-1995</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《煤矿井下用聚合物制品阻燃抗静电性通用实验方法和判定规则》</w:t>
      </w:r>
    </w:p>
    <w:p w14:paraId="40AB4F71">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MT/T872-2000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《煤矿用带式输送机保护装置技术要求》</w:t>
      </w:r>
    </w:p>
    <w:p w14:paraId="4B5B9220">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MT/T5030-2003</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《煤炭工业带式输送机工程设计规范》</w:t>
      </w:r>
    </w:p>
    <w:p w14:paraId="1FB6A3B4">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MT914-2008</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《煤矿用织物整芯阻燃输送带》</w:t>
      </w:r>
    </w:p>
    <w:p w14:paraId="62977B22">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MT830-2008</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《煤矿用织物叠层阻燃输送带》</w:t>
      </w:r>
    </w:p>
    <w:p w14:paraId="26E03D15">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GB/T 22669-2008 《三相永磁同步电动机试验方法》</w:t>
      </w:r>
    </w:p>
    <w:p w14:paraId="6F001040">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 xml:space="preserve">GB/T22771-2008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《高效三相永磁同步电动机技术条件（机座号 132—280）》 </w:t>
      </w:r>
    </w:p>
    <w:p w14:paraId="56492270">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GB14784-89</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《带式输送机安全规范》</w:t>
      </w:r>
    </w:p>
    <w:p w14:paraId="26034711">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lang w:val="en-US" w:eastAsia="zh-CN"/>
        </w:rPr>
        <w:t>生产厂家</w:t>
      </w:r>
      <w:r>
        <w:rPr>
          <w:rFonts w:hint="eastAsia" w:ascii="宋体" w:hAnsi="宋体" w:eastAsia="宋体" w:cs="宋体"/>
          <w:sz w:val="24"/>
          <w:szCs w:val="24"/>
        </w:rPr>
        <w:t>可采用高于或相当于上述中国及国际标准的各国的国家标准、规范。提供产品的各种零部件均应经过实际运行和检验，不带有任何试验性质；</w:t>
      </w:r>
      <w:r>
        <w:rPr>
          <w:rFonts w:hint="eastAsia" w:ascii="宋体" w:hAnsi="宋体" w:eastAsia="宋体" w:cs="宋体"/>
          <w:sz w:val="24"/>
          <w:szCs w:val="24"/>
          <w:lang w:val="en-US" w:eastAsia="zh-CN"/>
        </w:rPr>
        <w:t>所</w:t>
      </w:r>
      <w:r>
        <w:rPr>
          <w:rFonts w:hint="eastAsia" w:ascii="宋体" w:hAnsi="宋体" w:eastAsia="宋体" w:cs="宋体"/>
          <w:sz w:val="24"/>
          <w:szCs w:val="24"/>
        </w:rPr>
        <w:t>使用的标准、规范均应是投标前一个月的有效版本。</w:t>
      </w:r>
    </w:p>
    <w:p w14:paraId="3CFA4720">
      <w:pPr>
        <w:spacing w:line="360" w:lineRule="auto"/>
        <w:rPr>
          <w:rFonts w:ascii="宋体" w:hAnsi="宋体" w:eastAsia="宋体" w:cs="宋体"/>
          <w:sz w:val="24"/>
          <w:szCs w:val="24"/>
        </w:rPr>
      </w:pPr>
      <w:r>
        <w:rPr>
          <w:rFonts w:hint="eastAsia" w:ascii="宋体" w:hAnsi="宋体" w:eastAsia="宋体" w:cs="宋体"/>
          <w:b/>
          <w:bCs/>
          <w:sz w:val="24"/>
          <w:szCs w:val="24"/>
        </w:rPr>
        <w:t>六、可伸缩带式输送机主要技术参数：</w:t>
      </w:r>
    </w:p>
    <w:p w14:paraId="6399F13A">
      <w:pPr>
        <w:spacing w:line="360" w:lineRule="auto"/>
        <w:ind w:firstLine="240" w:firstLineChars="100"/>
        <w:jc w:val="left"/>
        <w:rPr>
          <w:rFonts w:hint="eastAsia" w:ascii="宋体" w:hAnsi="宋体" w:eastAsia="宋体" w:cs="宋体"/>
          <w:sz w:val="24"/>
          <w:szCs w:val="24"/>
          <w:lang w:eastAsia="zh-CN"/>
        </w:rPr>
      </w:pPr>
      <w:r>
        <w:rPr>
          <w:rFonts w:hint="eastAsia" w:ascii="宋体" w:hAnsi="宋体" w:eastAsia="宋体" w:cs="宋体"/>
          <w:sz w:val="24"/>
          <w:szCs w:val="24"/>
        </w:rPr>
        <w:t xml:space="preserve">功率：         </w:t>
      </w:r>
      <w:r>
        <w:rPr>
          <w:rFonts w:hint="eastAsia" w:ascii="宋体" w:hAnsi="宋体" w:eastAsia="宋体" w:cs="宋体"/>
          <w:color w:val="00B0F0"/>
          <w:sz w:val="24"/>
          <w:szCs w:val="24"/>
        </w:rPr>
        <w:t xml:space="preserve"> </w:t>
      </w:r>
      <w:r>
        <w:rPr>
          <w:rFonts w:hint="eastAsia" w:ascii="宋体" w:hAnsi="宋体" w:eastAsia="宋体" w:cs="宋体"/>
          <w:color w:val="auto"/>
          <w:sz w:val="24"/>
          <w:szCs w:val="24"/>
        </w:rPr>
        <w:t xml:space="preserve"> 2×315kW</w:t>
      </w:r>
      <w:r>
        <w:rPr>
          <w:rFonts w:hint="eastAsia" w:ascii="宋体" w:hAnsi="宋体" w:eastAsia="宋体" w:cs="宋体"/>
          <w:color w:val="auto"/>
          <w:sz w:val="24"/>
          <w:szCs w:val="24"/>
          <w:lang w:eastAsia="zh-CN"/>
        </w:rPr>
        <w:t>（永磁滚筒）</w:t>
      </w:r>
    </w:p>
    <w:p w14:paraId="2D4B99A6">
      <w:pPr>
        <w:spacing w:line="360" w:lineRule="auto"/>
        <w:ind w:firstLine="240" w:firstLineChars="100"/>
        <w:jc w:val="left"/>
        <w:rPr>
          <w:rFonts w:hint="eastAsia" w:ascii="宋体" w:hAnsi="宋体" w:eastAsia="宋体" w:cs="宋体"/>
          <w:sz w:val="24"/>
          <w:szCs w:val="24"/>
          <w:lang w:eastAsia="zh-CN"/>
        </w:rPr>
      </w:pPr>
      <w:r>
        <w:rPr>
          <w:rFonts w:hint="eastAsia" w:ascii="宋体" w:hAnsi="宋体" w:eastAsia="宋体" w:cs="宋体"/>
          <w:sz w:val="24"/>
          <w:szCs w:val="24"/>
        </w:rPr>
        <w:t xml:space="preserve">数量：           </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台</w:t>
      </w:r>
    </w:p>
    <w:p w14:paraId="46EDA4E7">
      <w:pPr>
        <w:spacing w:line="360" w:lineRule="auto"/>
        <w:ind w:firstLine="240" w:firstLineChars="100"/>
        <w:jc w:val="left"/>
        <w:rPr>
          <w:rFonts w:ascii="宋体" w:hAnsi="宋体" w:eastAsia="宋体" w:cs="宋体"/>
          <w:sz w:val="24"/>
          <w:szCs w:val="24"/>
        </w:rPr>
      </w:pPr>
      <w:r>
        <w:rPr>
          <w:rFonts w:hint="eastAsia" w:ascii="宋体" w:hAnsi="宋体" w:eastAsia="宋体" w:cs="宋体"/>
          <w:sz w:val="24"/>
          <w:szCs w:val="24"/>
        </w:rPr>
        <w:t>运输长度：       L=1000m</w:t>
      </w:r>
    </w:p>
    <w:p w14:paraId="516FD12C">
      <w:pPr>
        <w:spacing w:line="360" w:lineRule="auto"/>
        <w:ind w:firstLine="240" w:firstLineChars="100"/>
        <w:jc w:val="left"/>
        <w:rPr>
          <w:rFonts w:ascii="宋体" w:hAnsi="宋体" w:eastAsia="宋体" w:cs="宋体"/>
          <w:sz w:val="24"/>
          <w:szCs w:val="24"/>
          <w:highlight w:val="none"/>
        </w:rPr>
      </w:pPr>
      <w:r>
        <w:rPr>
          <w:rFonts w:hint="eastAsia" w:ascii="宋体" w:hAnsi="宋体" w:eastAsia="宋体" w:cs="宋体"/>
          <w:sz w:val="24"/>
          <w:szCs w:val="24"/>
        </w:rPr>
        <w:t xml:space="preserve">运输能力： </w:t>
      </w:r>
      <w:r>
        <w:rPr>
          <w:rFonts w:hint="eastAsia" w:ascii="宋体" w:hAnsi="宋体" w:eastAsia="宋体" w:cs="宋体"/>
          <w:sz w:val="24"/>
          <w:szCs w:val="24"/>
          <w:highlight w:val="none"/>
        </w:rPr>
        <w:t xml:space="preserve">      Q≥</w:t>
      </w:r>
      <w:r>
        <w:rPr>
          <w:rFonts w:hint="eastAsia" w:ascii="宋体" w:hAnsi="宋体" w:eastAsia="宋体" w:cs="宋体"/>
          <w:sz w:val="24"/>
          <w:szCs w:val="24"/>
          <w:highlight w:val="none"/>
          <w:lang w:val="en-US" w:eastAsia="zh-CN"/>
        </w:rPr>
        <w:t>1200</w:t>
      </w:r>
      <w:r>
        <w:rPr>
          <w:rFonts w:hint="eastAsia" w:ascii="宋体" w:hAnsi="宋体" w:eastAsia="宋体" w:cs="宋体"/>
          <w:sz w:val="24"/>
          <w:szCs w:val="24"/>
          <w:highlight w:val="none"/>
        </w:rPr>
        <w:t>吨/小时</w:t>
      </w:r>
    </w:p>
    <w:p w14:paraId="71EB5825">
      <w:pPr>
        <w:spacing w:line="360" w:lineRule="auto"/>
        <w:ind w:firstLine="240" w:firstLineChars="100"/>
        <w:jc w:val="left"/>
        <w:rPr>
          <w:rFonts w:ascii="宋体" w:hAnsi="宋体" w:eastAsia="宋体" w:cs="宋体"/>
          <w:sz w:val="24"/>
          <w:szCs w:val="24"/>
        </w:rPr>
      </w:pPr>
      <w:r>
        <w:rPr>
          <w:rFonts w:hint="eastAsia" w:ascii="宋体" w:hAnsi="宋体" w:eastAsia="宋体" w:cs="宋体"/>
          <w:sz w:val="24"/>
          <w:szCs w:val="24"/>
        </w:rPr>
        <w:t>输送物料：       原煤</w:t>
      </w:r>
    </w:p>
    <w:p w14:paraId="5C144D50">
      <w:pPr>
        <w:spacing w:line="360" w:lineRule="auto"/>
        <w:ind w:firstLine="240" w:firstLineChars="100"/>
        <w:jc w:val="left"/>
        <w:rPr>
          <w:rFonts w:hint="eastAsia" w:ascii="宋体" w:hAnsi="宋体" w:eastAsia="宋体" w:cs="宋体"/>
          <w:sz w:val="24"/>
          <w:szCs w:val="24"/>
          <w:lang w:val="en-US" w:eastAsia="zh-CN"/>
        </w:rPr>
      </w:pPr>
      <w:r>
        <w:rPr>
          <w:rFonts w:hint="eastAsia" w:ascii="宋体" w:hAnsi="宋体" w:eastAsia="宋体" w:cs="宋体"/>
          <w:sz w:val="24"/>
          <w:szCs w:val="24"/>
        </w:rPr>
        <w:t xml:space="preserve">带速：           </w:t>
      </w:r>
      <w:r>
        <w:rPr>
          <w:rFonts w:hint="eastAsia" w:ascii="宋体" w:hAnsi="宋体" w:eastAsia="宋体" w:cs="宋体"/>
          <w:sz w:val="24"/>
          <w:szCs w:val="24"/>
          <w:lang w:val="en-US" w:eastAsia="zh-CN"/>
        </w:rPr>
        <w:t>0</w:t>
      </w:r>
      <w:r>
        <w:rPr>
          <w:rFonts w:hint="eastAsia" w:ascii="宋体" w:hAnsi="宋体" w:eastAsia="宋体" w:cs="宋体"/>
          <w:sz w:val="24"/>
          <w:szCs w:val="24"/>
        </w:rPr>
        <w:t>-</w:t>
      </w:r>
      <w:r>
        <w:rPr>
          <w:rFonts w:hint="eastAsia" w:ascii="宋体" w:hAnsi="宋体" w:eastAsia="宋体" w:cs="宋体"/>
          <w:sz w:val="24"/>
          <w:szCs w:val="24"/>
          <w:lang w:val="en-US" w:eastAsia="zh-CN"/>
        </w:rPr>
        <w:t>3.5</w:t>
      </w:r>
      <w:r>
        <w:rPr>
          <w:rFonts w:hint="eastAsia" w:ascii="宋体" w:hAnsi="宋体" w:eastAsia="宋体" w:cs="宋体"/>
          <w:sz w:val="24"/>
          <w:szCs w:val="24"/>
        </w:rPr>
        <w:t>(m/s)</w:t>
      </w:r>
      <w:r>
        <w:rPr>
          <w:rFonts w:hint="eastAsia" w:ascii="宋体" w:hAnsi="宋体" w:eastAsia="宋体" w:cs="宋体"/>
          <w:sz w:val="24"/>
          <w:szCs w:val="24"/>
          <w:lang w:val="en-US" w:eastAsia="zh-CN"/>
        </w:rPr>
        <w:t xml:space="preserve">   可调</w:t>
      </w:r>
    </w:p>
    <w:p w14:paraId="45693BDF">
      <w:pPr>
        <w:spacing w:line="360" w:lineRule="auto"/>
        <w:ind w:firstLine="240" w:firstLineChars="100"/>
        <w:jc w:val="left"/>
        <w:rPr>
          <w:rFonts w:ascii="宋体" w:hAnsi="宋体" w:eastAsia="宋体" w:cs="宋体"/>
          <w:sz w:val="24"/>
          <w:szCs w:val="24"/>
        </w:rPr>
      </w:pPr>
      <w:r>
        <w:rPr>
          <w:rFonts w:hint="eastAsia" w:ascii="宋体" w:hAnsi="宋体" w:eastAsia="宋体" w:cs="宋体"/>
          <w:sz w:val="24"/>
          <w:szCs w:val="24"/>
        </w:rPr>
        <w:t>输送带宽：       B=1</w:t>
      </w:r>
      <w:r>
        <w:rPr>
          <w:rFonts w:hint="eastAsia" w:ascii="宋体" w:hAnsi="宋体" w:eastAsia="宋体" w:cs="宋体"/>
          <w:sz w:val="24"/>
          <w:szCs w:val="24"/>
          <w:lang w:val="en-US" w:eastAsia="zh-CN"/>
        </w:rPr>
        <w:t>200</w:t>
      </w:r>
      <w:r>
        <w:rPr>
          <w:rFonts w:hint="eastAsia" w:ascii="宋体" w:hAnsi="宋体" w:eastAsia="宋体" w:cs="宋体"/>
          <w:sz w:val="24"/>
          <w:szCs w:val="24"/>
        </w:rPr>
        <w:t xml:space="preserve">mm </w:t>
      </w:r>
    </w:p>
    <w:p w14:paraId="57661240">
      <w:pPr>
        <w:spacing w:line="360" w:lineRule="auto"/>
        <w:ind w:firstLine="240" w:firstLineChars="100"/>
        <w:rPr>
          <w:rFonts w:ascii="宋体" w:hAnsi="宋体" w:eastAsia="宋体" w:cs="宋体"/>
          <w:sz w:val="24"/>
          <w:szCs w:val="24"/>
        </w:rPr>
      </w:pPr>
      <w:r>
        <w:rPr>
          <w:rFonts w:hint="eastAsia" w:ascii="宋体" w:hAnsi="宋体" w:eastAsia="宋体" w:cs="宋体"/>
          <w:sz w:val="24"/>
          <w:szCs w:val="24"/>
        </w:rPr>
        <w:t>带强：           1400S抗静电阻燃整芯PVG贴面带</w:t>
      </w:r>
    </w:p>
    <w:p w14:paraId="12AB4DE9">
      <w:pPr>
        <w:spacing w:line="360" w:lineRule="auto"/>
        <w:ind w:firstLine="240" w:firstLineChars="100"/>
        <w:rPr>
          <w:rFonts w:hint="default" w:ascii="宋体" w:hAnsi="宋体" w:eastAsia="宋体" w:cs="宋体"/>
          <w:sz w:val="24"/>
          <w:szCs w:val="24"/>
          <w:lang w:val="en-US" w:eastAsia="zh-CN"/>
        </w:rPr>
      </w:pPr>
      <w:r>
        <w:rPr>
          <w:rFonts w:hint="eastAsia" w:ascii="宋体" w:hAnsi="宋体" w:eastAsia="宋体" w:cs="宋体"/>
          <w:sz w:val="24"/>
          <w:szCs w:val="24"/>
        </w:rPr>
        <w:t>托辊直径：       φ133mm  壁厚：5mm</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上、下均采用不锈钢托辊）</w:t>
      </w:r>
    </w:p>
    <w:p w14:paraId="120A2485">
      <w:pPr>
        <w:spacing w:line="360" w:lineRule="auto"/>
        <w:ind w:left="2159" w:leftChars="114" w:hanging="1920" w:hangingChars="800"/>
        <w:rPr>
          <w:rFonts w:ascii="宋体" w:hAnsi="宋体" w:eastAsia="宋体" w:cs="宋体"/>
          <w:sz w:val="24"/>
          <w:szCs w:val="24"/>
        </w:rPr>
      </w:pPr>
      <w:r>
        <w:rPr>
          <w:rFonts w:hint="eastAsia" w:ascii="宋体" w:hAnsi="宋体" w:eastAsia="宋体" w:cs="宋体"/>
          <w:sz w:val="24"/>
          <w:szCs w:val="24"/>
        </w:rPr>
        <w:t>托辊间距：       上层1.5米，下层3米，下托辊采用下平托辊结构</w:t>
      </w:r>
    </w:p>
    <w:p w14:paraId="652793EC">
      <w:pPr>
        <w:spacing w:line="360" w:lineRule="auto"/>
        <w:ind w:firstLine="240" w:firstLineChars="100"/>
        <w:rPr>
          <w:rFonts w:ascii="宋体" w:hAnsi="宋体" w:eastAsia="宋体" w:cs="宋体"/>
          <w:sz w:val="24"/>
          <w:szCs w:val="24"/>
        </w:rPr>
      </w:pPr>
      <w:r>
        <w:rPr>
          <w:rFonts w:hint="eastAsia" w:ascii="宋体" w:hAnsi="宋体" w:eastAsia="宋体" w:cs="宋体"/>
          <w:sz w:val="24"/>
          <w:szCs w:val="24"/>
        </w:rPr>
        <w:t>调偏装置：       液压无源自动调偏，每隔</w:t>
      </w:r>
      <w:r>
        <w:rPr>
          <w:rFonts w:hint="eastAsia" w:ascii="宋体" w:hAnsi="宋体" w:eastAsia="宋体" w:cs="宋体"/>
          <w:sz w:val="24"/>
          <w:szCs w:val="24"/>
          <w:lang w:val="en-US" w:eastAsia="zh-CN"/>
        </w:rPr>
        <w:t>3</w:t>
      </w:r>
      <w:r>
        <w:rPr>
          <w:rFonts w:hint="eastAsia" w:ascii="宋体" w:hAnsi="宋体" w:eastAsia="宋体" w:cs="宋体"/>
          <w:sz w:val="24"/>
          <w:szCs w:val="24"/>
        </w:rPr>
        <w:t>0米一组（上下各一）</w:t>
      </w:r>
    </w:p>
    <w:p w14:paraId="4026A3E2">
      <w:pPr>
        <w:spacing w:line="360" w:lineRule="auto"/>
        <w:ind w:firstLine="240" w:firstLineChars="100"/>
        <w:jc w:val="left"/>
        <w:rPr>
          <w:rFonts w:ascii="宋体" w:hAnsi="宋体" w:eastAsia="宋体" w:cs="宋体"/>
          <w:sz w:val="24"/>
          <w:szCs w:val="24"/>
        </w:rPr>
      </w:pPr>
      <w:r>
        <w:rPr>
          <w:rFonts w:hint="eastAsia" w:ascii="宋体" w:hAnsi="宋体" w:eastAsia="宋体" w:cs="宋体"/>
          <w:sz w:val="24"/>
          <w:szCs w:val="24"/>
        </w:rPr>
        <w:t>驱动布置形式：   主、副滚筒驱动（永磁）；双驱</w:t>
      </w:r>
    </w:p>
    <w:p w14:paraId="18EE315B">
      <w:pPr>
        <w:spacing w:line="360" w:lineRule="auto"/>
        <w:ind w:firstLine="240" w:firstLineChars="100"/>
        <w:jc w:val="left"/>
        <w:rPr>
          <w:rFonts w:ascii="宋体" w:hAnsi="宋体" w:eastAsia="宋体" w:cs="宋体"/>
          <w:sz w:val="24"/>
          <w:szCs w:val="24"/>
        </w:rPr>
      </w:pPr>
      <w:r>
        <w:rPr>
          <w:rFonts w:hint="eastAsia" w:ascii="宋体" w:hAnsi="宋体" w:eastAsia="宋体" w:cs="宋体"/>
          <w:sz w:val="24"/>
          <w:szCs w:val="24"/>
        </w:rPr>
        <w:t>最大高差：       H=+3m（机尾满足与输送机搭接使用）</w:t>
      </w:r>
    </w:p>
    <w:p w14:paraId="38BDFD6F">
      <w:pPr>
        <w:spacing w:line="360" w:lineRule="auto"/>
        <w:ind w:firstLine="240" w:firstLineChars="100"/>
        <w:jc w:val="left"/>
        <w:rPr>
          <w:rFonts w:ascii="宋体" w:hAnsi="宋体" w:eastAsia="宋体" w:cs="宋体"/>
          <w:sz w:val="24"/>
          <w:szCs w:val="24"/>
        </w:rPr>
      </w:pPr>
      <w:r>
        <w:rPr>
          <w:rFonts w:hint="eastAsia" w:ascii="宋体" w:hAnsi="宋体" w:eastAsia="宋体" w:cs="宋体"/>
          <w:sz w:val="24"/>
          <w:szCs w:val="24"/>
        </w:rPr>
        <w:t>巷道倾角：       15°；（以甲方提供巷道图为准）</w:t>
      </w:r>
    </w:p>
    <w:p w14:paraId="606C678A">
      <w:pPr>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 xml:space="preserve">适应倾角：       </w:t>
      </w:r>
      <w:r>
        <w:rPr>
          <w:rFonts w:hint="eastAsia" w:ascii="宋体" w:hAnsi="宋体" w:eastAsia="宋体" w:cs="宋体"/>
          <w:sz w:val="24"/>
          <w:szCs w:val="24"/>
          <w:lang w:val="en-US" w:eastAsia="zh-CN"/>
        </w:rPr>
        <w:t>0°—±25</w:t>
      </w:r>
      <w:r>
        <w:rPr>
          <w:rFonts w:hint="eastAsia" w:ascii="宋体" w:hAnsi="宋体" w:eastAsia="宋体" w:cs="宋体"/>
          <w:sz w:val="24"/>
          <w:szCs w:val="24"/>
        </w:rPr>
        <w:t>°</w:t>
      </w:r>
    </w:p>
    <w:p w14:paraId="1A499C77">
      <w:pPr>
        <w:pStyle w:val="8"/>
        <w:rPr>
          <w:rFonts w:hint="default" w:eastAsia="宋体"/>
          <w:sz w:val="24"/>
          <w:szCs w:val="24"/>
          <w:lang w:val="en-US" w:eastAsia="zh-CN"/>
        </w:rPr>
      </w:pPr>
      <w:r>
        <w:rPr>
          <w:rFonts w:hint="eastAsia" w:ascii="宋体" w:hAnsi="宋体" w:eastAsia="宋体" w:cs="宋体"/>
          <w:sz w:val="24"/>
          <w:szCs w:val="24"/>
          <w:lang w:val="en-US" w:eastAsia="zh-CN"/>
        </w:rPr>
        <w:t xml:space="preserve">  运输方式：       上运+下运</w:t>
      </w:r>
    </w:p>
    <w:p w14:paraId="2903A51B">
      <w:pPr>
        <w:spacing w:line="360" w:lineRule="auto"/>
        <w:ind w:firstLine="240" w:firstLineChars="100"/>
        <w:jc w:val="left"/>
        <w:rPr>
          <w:rFonts w:hint="eastAsia" w:ascii="宋体" w:hAnsi="宋体" w:eastAsia="宋体" w:cs="宋体"/>
          <w:sz w:val="24"/>
          <w:szCs w:val="24"/>
          <w:lang w:val="en-US" w:eastAsia="zh-CN"/>
        </w:rPr>
      </w:pPr>
      <w:r>
        <w:rPr>
          <w:rFonts w:hint="eastAsia" w:ascii="宋体" w:hAnsi="宋体" w:eastAsia="宋体" w:cs="宋体"/>
          <w:sz w:val="24"/>
          <w:szCs w:val="24"/>
        </w:rPr>
        <w:t>供电电压：       主电压1140V</w:t>
      </w:r>
      <w:r>
        <w:rPr>
          <w:rFonts w:hint="eastAsia" w:ascii="宋体" w:hAnsi="宋体" w:eastAsia="宋体" w:cs="宋体"/>
          <w:sz w:val="24"/>
          <w:szCs w:val="24"/>
          <w:lang w:val="en-US" w:eastAsia="zh-CN"/>
        </w:rPr>
        <w:t>/660V</w:t>
      </w:r>
    </w:p>
    <w:p w14:paraId="49D671C4">
      <w:pPr>
        <w:spacing w:line="360" w:lineRule="auto"/>
        <w:ind w:left="2279" w:leftChars="114" w:hanging="2040" w:hangingChars="850"/>
        <w:rPr>
          <w:rFonts w:ascii="宋体" w:hAnsi="宋体" w:eastAsia="宋体" w:cs="宋体"/>
          <w:sz w:val="24"/>
          <w:szCs w:val="24"/>
        </w:rPr>
      </w:pPr>
      <w:r>
        <w:rPr>
          <w:rFonts w:hint="eastAsia" w:ascii="宋体" w:hAnsi="宋体" w:eastAsia="宋体" w:cs="宋体"/>
          <w:sz w:val="24"/>
          <w:szCs w:val="24"/>
        </w:rPr>
        <w:t>驱动功率：       2×315KW，永磁滚筒驱动；绝缘等级：H级，内置轴承及定子PT型测温元件以及两侧轴承X、Y方向振动监测传感器</w:t>
      </w:r>
    </w:p>
    <w:p w14:paraId="68B1B977">
      <w:pPr>
        <w:spacing w:line="360" w:lineRule="auto"/>
        <w:ind w:left="1919" w:leftChars="114" w:hanging="1680" w:hangingChars="700"/>
        <w:rPr>
          <w:rFonts w:ascii="宋体" w:hAnsi="宋体" w:eastAsia="宋体" w:cs="宋体"/>
          <w:sz w:val="24"/>
          <w:szCs w:val="24"/>
        </w:rPr>
      </w:pPr>
      <w:r>
        <w:rPr>
          <w:rFonts w:hint="eastAsia" w:ascii="宋体" w:hAnsi="宋体" w:eastAsia="宋体" w:cs="宋体"/>
          <w:sz w:val="24"/>
          <w:szCs w:val="24"/>
        </w:rPr>
        <w:t>传动滚筒直径：   φ1000mm，卸载滚筒直径：</w:t>
      </w:r>
      <w:r>
        <w:rPr>
          <w:rFonts w:hint="eastAsia" w:ascii="宋体" w:hAnsi="宋体" w:eastAsia="宋体" w:cs="宋体"/>
          <w:sz w:val="24"/>
          <w:szCs w:val="24"/>
          <w:highlight w:val="none"/>
        </w:rPr>
        <w:t>φ</w:t>
      </w:r>
      <w:r>
        <w:rPr>
          <w:rFonts w:hint="eastAsia" w:ascii="宋体" w:hAnsi="宋体" w:eastAsia="宋体" w:cs="宋体"/>
          <w:sz w:val="24"/>
          <w:szCs w:val="24"/>
          <w:highlight w:val="none"/>
          <w:lang w:val="en-US" w:eastAsia="zh-CN"/>
        </w:rPr>
        <w:t>630</w:t>
      </w:r>
      <w:r>
        <w:rPr>
          <w:rFonts w:hint="eastAsia" w:ascii="宋体" w:hAnsi="宋体" w:eastAsia="宋体" w:cs="宋体"/>
          <w:sz w:val="24"/>
          <w:szCs w:val="24"/>
          <w:highlight w:val="none"/>
        </w:rPr>
        <w:t xml:space="preserve">mm </w:t>
      </w:r>
      <w:r>
        <w:rPr>
          <w:rFonts w:hint="eastAsia" w:ascii="宋体" w:hAnsi="宋体" w:eastAsia="宋体" w:cs="宋体"/>
          <w:sz w:val="24"/>
          <w:szCs w:val="24"/>
        </w:rPr>
        <w:t>机尾滚筒直径：φ500mm</w:t>
      </w:r>
    </w:p>
    <w:p w14:paraId="7AEBCD68">
      <w:pPr>
        <w:spacing w:line="360" w:lineRule="auto"/>
        <w:ind w:left="2159" w:leftChars="114" w:hanging="1920" w:hangingChars="800"/>
        <w:rPr>
          <w:rFonts w:ascii="宋体" w:hAnsi="宋体" w:eastAsia="宋体" w:cs="宋体"/>
          <w:sz w:val="24"/>
          <w:szCs w:val="24"/>
        </w:rPr>
      </w:pPr>
      <w:r>
        <w:rPr>
          <w:rFonts w:hint="eastAsia" w:ascii="宋体" w:hAnsi="宋体" w:eastAsia="宋体" w:cs="宋体"/>
          <w:sz w:val="24"/>
          <w:szCs w:val="24"/>
        </w:rPr>
        <w:t>储带张紧方式：   选用自动液压张紧，（行程根据实际机尾拉移步距确定，张紧力不小于320KN）6层储带，满足储带≥100米；配智能真空可逆开关，具备远程控制功能。</w:t>
      </w:r>
    </w:p>
    <w:p w14:paraId="171DBB70">
      <w:pPr>
        <w:spacing w:line="360" w:lineRule="auto"/>
        <w:ind w:firstLine="240" w:firstLineChars="100"/>
        <w:jc w:val="left"/>
        <w:rPr>
          <w:rFonts w:ascii="宋体" w:hAnsi="宋体" w:eastAsia="宋体" w:cs="宋体"/>
          <w:sz w:val="24"/>
          <w:szCs w:val="24"/>
        </w:rPr>
      </w:pPr>
      <w:r>
        <w:rPr>
          <w:rFonts w:hint="eastAsia" w:ascii="宋体" w:hAnsi="宋体" w:eastAsia="宋体" w:cs="宋体"/>
          <w:sz w:val="24"/>
          <w:szCs w:val="24"/>
        </w:rPr>
        <w:t>驱动方式：      变频器+冷却水箱+永磁滚筒</w:t>
      </w:r>
    </w:p>
    <w:p w14:paraId="663C15C3">
      <w:pPr>
        <w:spacing w:line="360" w:lineRule="auto"/>
        <w:ind w:firstLine="240" w:firstLineChars="100"/>
        <w:jc w:val="left"/>
        <w:rPr>
          <w:rFonts w:ascii="宋体" w:hAnsi="宋体" w:eastAsia="宋体" w:cs="宋体"/>
          <w:sz w:val="24"/>
          <w:szCs w:val="24"/>
        </w:rPr>
      </w:pPr>
      <w:r>
        <w:rPr>
          <w:rFonts w:hint="eastAsia" w:ascii="宋体" w:hAnsi="宋体" w:eastAsia="宋体" w:cs="宋体"/>
          <w:sz w:val="24"/>
          <w:szCs w:val="24"/>
        </w:rPr>
        <w:t>启动方式：      变频器（</w:t>
      </w:r>
      <w:r>
        <w:rPr>
          <w:rFonts w:hint="eastAsia" w:ascii="宋体" w:hAnsi="宋体" w:eastAsia="宋体" w:cs="宋体"/>
          <w:sz w:val="24"/>
          <w:szCs w:val="24"/>
          <w:lang w:eastAsia="zh-CN"/>
        </w:rPr>
        <w:t>四</w:t>
      </w:r>
      <w:r>
        <w:rPr>
          <w:rFonts w:hint="eastAsia" w:ascii="宋体" w:hAnsi="宋体" w:eastAsia="宋体" w:cs="宋体"/>
          <w:sz w:val="24"/>
          <w:szCs w:val="24"/>
        </w:rPr>
        <w:t>象限、容量</w:t>
      </w:r>
      <w:r>
        <w:rPr>
          <w:rFonts w:hint="eastAsia" w:ascii="宋体" w:hAnsi="宋体" w:eastAsia="宋体" w:cs="宋体"/>
          <w:sz w:val="24"/>
          <w:szCs w:val="24"/>
          <w:lang w:val="en-US" w:eastAsia="zh-CN"/>
        </w:rPr>
        <w:t>400</w:t>
      </w:r>
      <w:r>
        <w:rPr>
          <w:rFonts w:hint="eastAsia" w:ascii="宋体" w:hAnsi="宋体" w:eastAsia="宋体" w:cs="宋体"/>
          <w:sz w:val="24"/>
          <w:szCs w:val="24"/>
        </w:rPr>
        <w:t>KVA，配套输入和输出侧电抗器）</w:t>
      </w:r>
    </w:p>
    <w:p w14:paraId="7B55BBD5">
      <w:pPr>
        <w:spacing w:line="360" w:lineRule="auto"/>
        <w:ind w:firstLine="240" w:firstLineChars="100"/>
        <w:jc w:val="left"/>
        <w:rPr>
          <w:rFonts w:ascii="宋体" w:hAnsi="宋体" w:eastAsia="宋体" w:cs="宋体"/>
          <w:sz w:val="24"/>
          <w:szCs w:val="24"/>
        </w:rPr>
      </w:pPr>
      <w:r>
        <w:rPr>
          <w:rFonts w:hint="eastAsia" w:ascii="宋体" w:hAnsi="宋体" w:eastAsia="宋体" w:cs="宋体"/>
          <w:sz w:val="24"/>
          <w:szCs w:val="24"/>
        </w:rPr>
        <w:t>是否卸载带驱动： 否</w:t>
      </w:r>
    </w:p>
    <w:p w14:paraId="22D27281">
      <w:pPr>
        <w:spacing w:line="360" w:lineRule="auto"/>
        <w:ind w:firstLine="240" w:firstLineChars="100"/>
        <w:jc w:val="left"/>
        <w:rPr>
          <w:rFonts w:ascii="宋体" w:hAnsi="宋体" w:eastAsia="宋体" w:cs="宋体"/>
          <w:sz w:val="24"/>
          <w:szCs w:val="24"/>
        </w:rPr>
      </w:pPr>
      <w:r>
        <w:rPr>
          <w:rFonts w:hint="eastAsia" w:ascii="宋体" w:hAnsi="宋体" w:eastAsia="宋体" w:cs="宋体"/>
          <w:sz w:val="24"/>
          <w:szCs w:val="24"/>
        </w:rPr>
        <w:t>是否自动卷带：   是</w:t>
      </w:r>
    </w:p>
    <w:p w14:paraId="66B5F40E">
      <w:pPr>
        <w:spacing w:line="360" w:lineRule="auto"/>
        <w:ind w:firstLine="240" w:firstLineChars="100"/>
        <w:jc w:val="left"/>
        <w:rPr>
          <w:rFonts w:ascii="宋体" w:hAnsi="宋体" w:eastAsia="宋体" w:cs="宋体"/>
          <w:sz w:val="24"/>
          <w:szCs w:val="24"/>
        </w:rPr>
      </w:pPr>
      <w:r>
        <w:rPr>
          <w:rFonts w:hint="eastAsia" w:ascii="宋体" w:hAnsi="宋体" w:eastAsia="宋体" w:cs="宋体"/>
          <w:sz w:val="24"/>
          <w:szCs w:val="24"/>
        </w:rPr>
        <w:t>保护系统：智能化综合保护系统</w:t>
      </w:r>
    </w:p>
    <w:p w14:paraId="699FC758">
      <w:pPr>
        <w:spacing w:line="360" w:lineRule="auto"/>
        <w:ind w:firstLine="240" w:firstLineChars="100"/>
        <w:jc w:val="left"/>
        <w:rPr>
          <w:rFonts w:ascii="宋体" w:hAnsi="宋体" w:eastAsia="宋体" w:cs="宋体"/>
          <w:sz w:val="24"/>
          <w:szCs w:val="24"/>
        </w:rPr>
      </w:pPr>
      <w:r>
        <w:rPr>
          <w:rFonts w:hint="eastAsia" w:ascii="宋体" w:hAnsi="宋体" w:eastAsia="宋体" w:cs="宋体"/>
          <w:sz w:val="24"/>
          <w:szCs w:val="24"/>
        </w:rPr>
        <w:t>控制方式：皮带机集中控制系统集中控制</w:t>
      </w:r>
    </w:p>
    <w:p w14:paraId="376EE3D7">
      <w:pPr>
        <w:spacing w:line="360" w:lineRule="auto"/>
        <w:ind w:firstLine="240" w:firstLineChars="100"/>
        <w:jc w:val="left"/>
        <w:rPr>
          <w:rFonts w:hint="eastAsia" w:ascii="宋体" w:hAnsi="宋体" w:eastAsia="宋体" w:cs="宋体"/>
          <w:sz w:val="24"/>
          <w:szCs w:val="24"/>
          <w:lang w:eastAsia="zh-CN"/>
        </w:rPr>
      </w:pPr>
      <w:r>
        <w:rPr>
          <w:rFonts w:hint="eastAsia" w:ascii="宋体" w:hAnsi="宋体" w:eastAsia="宋体" w:cs="宋体"/>
          <w:sz w:val="24"/>
          <w:szCs w:val="24"/>
        </w:rPr>
        <w:t>调偏设置：</w:t>
      </w:r>
      <w:r>
        <w:rPr>
          <w:rFonts w:hint="eastAsia" w:ascii="宋体" w:hAnsi="宋体" w:eastAsia="宋体" w:cs="宋体"/>
          <w:sz w:val="24"/>
          <w:szCs w:val="24"/>
          <w:highlight w:val="none"/>
          <w:lang w:val="en-US" w:eastAsia="zh-CN"/>
        </w:rPr>
        <w:t>液压无源</w:t>
      </w:r>
      <w:r>
        <w:rPr>
          <w:rFonts w:hint="eastAsia" w:ascii="宋体" w:hAnsi="宋体" w:eastAsia="宋体" w:cs="宋体"/>
          <w:sz w:val="24"/>
          <w:szCs w:val="24"/>
          <w:highlight w:val="none"/>
          <w:lang w:eastAsia="zh-CN"/>
        </w:rPr>
        <w:t>自动纠偏装置</w:t>
      </w:r>
    </w:p>
    <w:p w14:paraId="51131B44">
      <w:pPr>
        <w:spacing w:line="360" w:lineRule="auto"/>
        <w:ind w:firstLine="240" w:firstLineChars="100"/>
        <w:jc w:val="left"/>
        <w:rPr>
          <w:rFonts w:ascii="宋体" w:hAnsi="宋体" w:eastAsia="宋体" w:cs="宋体"/>
          <w:sz w:val="24"/>
          <w:szCs w:val="24"/>
        </w:rPr>
      </w:pPr>
      <w:r>
        <w:rPr>
          <w:rFonts w:hint="eastAsia" w:ascii="宋体" w:hAnsi="宋体" w:eastAsia="宋体" w:cs="宋体"/>
          <w:sz w:val="24"/>
          <w:szCs w:val="24"/>
        </w:rPr>
        <w:t>制动方式：逆止器+液压盘式制动闸制动</w:t>
      </w:r>
    </w:p>
    <w:p w14:paraId="75C1949B">
      <w:pPr>
        <w:spacing w:line="360" w:lineRule="auto"/>
        <w:ind w:firstLine="240" w:firstLineChars="100"/>
        <w:rPr>
          <w:rFonts w:ascii="宋体" w:hAnsi="宋体" w:eastAsia="宋体" w:cs="宋体"/>
          <w:sz w:val="24"/>
          <w:szCs w:val="24"/>
        </w:rPr>
      </w:pPr>
      <w:r>
        <w:rPr>
          <w:rFonts w:hint="eastAsia" w:ascii="宋体" w:hAnsi="宋体" w:eastAsia="宋体" w:cs="宋体"/>
          <w:sz w:val="24"/>
          <w:szCs w:val="24"/>
        </w:rPr>
        <w:t>最大件井筒入井尺寸：长≤6米，宽≤1.65米，高≤1.75米</w:t>
      </w:r>
    </w:p>
    <w:p w14:paraId="53AF9A8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s="宋体"/>
          <w:b/>
          <w:bCs/>
          <w:sz w:val="24"/>
          <w:szCs w:val="24"/>
        </w:rPr>
      </w:pPr>
      <w:r>
        <w:rPr>
          <w:rFonts w:hint="eastAsia" w:ascii="宋体" w:hAnsi="宋体" w:eastAsia="宋体" w:cs="宋体"/>
          <w:b/>
          <w:bCs/>
          <w:sz w:val="24"/>
          <w:szCs w:val="24"/>
        </w:rPr>
        <w:t>七、技术要求</w:t>
      </w:r>
    </w:p>
    <w:p w14:paraId="635F0FE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s="宋体"/>
          <w:b/>
          <w:bCs/>
          <w:sz w:val="24"/>
          <w:szCs w:val="24"/>
        </w:rPr>
      </w:pPr>
      <w:r>
        <w:rPr>
          <w:rFonts w:hint="eastAsia" w:ascii="宋体" w:hAnsi="宋体" w:eastAsia="宋体" w:cs="宋体"/>
          <w:b/>
          <w:bCs/>
          <w:sz w:val="24"/>
          <w:szCs w:val="24"/>
        </w:rPr>
        <w:t>（一）皮带机整机技术要求</w:t>
      </w:r>
    </w:p>
    <w:p w14:paraId="6A3D67B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rPr>
        <w:t>机头架采用人字型框架结构，机头框架及卸载臂上部要求用 “八”字形加强拉筋加固，卸载臂与机架连接处要求有内外夹板，底座为整体铸焊结构，轴承座为铸钢材料</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卸载架留行人空间，长度6米以上</w:t>
      </w:r>
      <w:r>
        <w:rPr>
          <w:rFonts w:hint="eastAsia" w:ascii="宋体" w:hAnsi="宋体" w:eastAsia="宋体" w:cs="宋体"/>
          <w:sz w:val="24"/>
          <w:szCs w:val="24"/>
        </w:rPr>
        <w:t>。</w:t>
      </w:r>
      <w:r>
        <w:rPr>
          <w:rFonts w:hint="eastAsia" w:ascii="宋体" w:hAnsi="宋体" w:eastAsia="宋体" w:cs="宋体"/>
          <w:sz w:val="24"/>
          <w:szCs w:val="24"/>
          <w:highlight w:val="none"/>
          <w:lang w:val="en-US" w:eastAsia="zh-CN"/>
        </w:rPr>
        <w:t>要求机头配置两组清扫装置，机尾配置一组清扫装置，传动滚筒处各安装一组可调节、可拆卸式红外线温度传感及两组自动洒水降温装置。</w:t>
      </w:r>
    </w:p>
    <w:p w14:paraId="055A56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储带仓架按照每节长2.4米配置，采用1</w:t>
      </w:r>
      <w:r>
        <w:rPr>
          <w:rFonts w:hint="eastAsia" w:ascii="宋体" w:hAnsi="宋体" w:eastAsia="宋体" w:cs="宋体"/>
          <w:sz w:val="24"/>
          <w:szCs w:val="24"/>
          <w:lang w:val="en-US" w:eastAsia="zh-CN"/>
        </w:rPr>
        <w:t>2</w:t>
      </w:r>
      <w:r>
        <w:rPr>
          <w:rFonts w:hint="eastAsia" w:ascii="宋体" w:hAnsi="宋体" w:eastAsia="宋体" w:cs="宋体"/>
          <w:sz w:val="24"/>
          <w:szCs w:val="24"/>
        </w:rPr>
        <w:t>0#角铁焊接，高度≤2米</w:t>
      </w:r>
      <w:r>
        <w:rPr>
          <w:rFonts w:hint="eastAsia" w:ascii="宋体" w:hAnsi="宋体" w:eastAsia="宋体" w:cs="宋体"/>
          <w:sz w:val="24"/>
          <w:szCs w:val="24"/>
          <w:lang w:eastAsia="zh-CN"/>
        </w:rPr>
        <w:t>。</w:t>
      </w:r>
    </w:p>
    <w:p w14:paraId="3341A9F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rPr>
        <w:t>中间H架采用</w:t>
      </w:r>
      <w:r>
        <w:rPr>
          <w:rFonts w:hint="eastAsia" w:ascii="宋体" w:hAnsi="宋体" w:eastAsia="宋体" w:cs="宋体"/>
          <w:sz w:val="24"/>
          <w:szCs w:val="24"/>
          <w:highlight w:val="none"/>
        </w:rPr>
        <w:t>14</w:t>
      </w:r>
      <w:r>
        <w:rPr>
          <w:rFonts w:hint="eastAsia" w:ascii="宋体" w:hAnsi="宋体" w:eastAsia="宋体" w:cs="宋体"/>
          <w:sz w:val="24"/>
          <w:szCs w:val="24"/>
          <w:highlight w:val="none"/>
          <w:lang w:val="en-US" w:eastAsia="zh-CN"/>
        </w:rPr>
        <w:t>b</w:t>
      </w:r>
      <w:r>
        <w:rPr>
          <w:rFonts w:hint="eastAsia" w:ascii="宋体" w:hAnsi="宋体" w:eastAsia="宋体" w:cs="宋体"/>
          <w:sz w:val="24"/>
          <w:szCs w:val="24"/>
        </w:rPr>
        <w:t>槽钢</w:t>
      </w:r>
      <w:r>
        <w:rPr>
          <w:rFonts w:hint="eastAsia" w:ascii="宋体" w:hAnsi="宋体" w:eastAsia="宋体" w:cs="宋体"/>
          <w:sz w:val="24"/>
          <w:szCs w:val="24"/>
          <w:lang w:eastAsia="zh-CN"/>
        </w:rPr>
        <w:t>，横梁也使用同规格</w:t>
      </w:r>
      <w:r>
        <w:rPr>
          <w:rFonts w:hint="eastAsia" w:ascii="宋体" w:hAnsi="宋体" w:eastAsia="宋体" w:cs="宋体"/>
          <w:sz w:val="24"/>
          <w:szCs w:val="24"/>
          <w:highlight w:val="none"/>
          <w:lang w:val="en-US" w:eastAsia="zh-CN"/>
        </w:rPr>
        <w:t>14b</w:t>
      </w:r>
      <w:r>
        <w:rPr>
          <w:rFonts w:hint="eastAsia" w:ascii="宋体" w:hAnsi="宋体" w:eastAsia="宋体" w:cs="宋体"/>
          <w:sz w:val="24"/>
          <w:szCs w:val="24"/>
          <w:lang w:val="en-US" w:eastAsia="zh-CN"/>
        </w:rPr>
        <w:t>槽钢</w:t>
      </w:r>
      <w:r>
        <w:rPr>
          <w:rFonts w:hint="eastAsia" w:ascii="宋体" w:hAnsi="宋体" w:eastAsia="宋体" w:cs="宋体"/>
          <w:sz w:val="24"/>
          <w:szCs w:val="24"/>
        </w:rPr>
        <w:t>，纵梁与H架、纵梁与托辊架要求全部用</w:t>
      </w:r>
      <w:r>
        <w:rPr>
          <w:rFonts w:hint="eastAsia" w:ascii="宋体" w:hAnsi="宋体" w:eastAsia="宋体" w:cs="宋体"/>
          <w:sz w:val="24"/>
          <w:szCs w:val="24"/>
          <w:lang w:val="en-US" w:eastAsia="zh-CN"/>
        </w:rPr>
        <w:t>E型插销</w:t>
      </w:r>
      <w:r>
        <w:rPr>
          <w:rFonts w:hint="eastAsia" w:ascii="宋体" w:hAnsi="宋体" w:eastAsia="宋体" w:cs="宋体"/>
          <w:sz w:val="24"/>
          <w:szCs w:val="24"/>
        </w:rPr>
        <w:t>连接，皮带机配置的</w:t>
      </w:r>
      <w:r>
        <w:rPr>
          <w:rFonts w:hint="eastAsia" w:ascii="宋体" w:hAnsi="宋体" w:eastAsia="宋体" w:cs="宋体"/>
          <w:color w:val="auto"/>
          <w:sz w:val="24"/>
          <w:szCs w:val="24"/>
        </w:rPr>
        <w:t>可伸缩调高H</w:t>
      </w:r>
      <w:r>
        <w:rPr>
          <w:rFonts w:hint="eastAsia" w:ascii="宋体" w:hAnsi="宋体" w:eastAsia="宋体" w:cs="宋体"/>
          <w:sz w:val="24"/>
          <w:szCs w:val="24"/>
        </w:rPr>
        <w:t>架要求比普通H架加强强度</w:t>
      </w:r>
      <w:r>
        <w:rPr>
          <w:rFonts w:hint="eastAsia" w:ascii="宋体" w:hAnsi="宋体" w:eastAsia="宋体" w:cs="宋体"/>
          <w:sz w:val="24"/>
          <w:szCs w:val="24"/>
          <w:lang w:eastAsia="zh-CN"/>
        </w:rPr>
        <w:t>（最大调整高度为</w:t>
      </w:r>
      <w:r>
        <w:rPr>
          <w:rFonts w:hint="eastAsia" w:ascii="宋体" w:hAnsi="宋体" w:eastAsia="宋体" w:cs="宋体"/>
          <w:sz w:val="24"/>
          <w:szCs w:val="24"/>
          <w:lang w:val="en-US" w:eastAsia="zh-CN"/>
        </w:rPr>
        <w:t>1m）</w:t>
      </w:r>
      <w:r>
        <w:rPr>
          <w:rFonts w:hint="eastAsia" w:ascii="宋体" w:hAnsi="宋体" w:eastAsia="宋体" w:cs="宋体"/>
          <w:sz w:val="24"/>
          <w:szCs w:val="24"/>
        </w:rPr>
        <w:t>，</w:t>
      </w:r>
      <w:r>
        <w:rPr>
          <w:rFonts w:hint="eastAsia" w:ascii="宋体" w:hAnsi="宋体" w:eastAsia="宋体" w:cs="宋体"/>
          <w:color w:val="auto"/>
          <w:sz w:val="24"/>
          <w:szCs w:val="24"/>
        </w:rPr>
        <w:t>可伸缩调高H</w:t>
      </w:r>
      <w:r>
        <w:rPr>
          <w:rFonts w:hint="eastAsia" w:ascii="宋体" w:hAnsi="宋体" w:eastAsia="宋体" w:cs="宋体"/>
          <w:sz w:val="24"/>
          <w:szCs w:val="24"/>
        </w:rPr>
        <w:t>架</w:t>
      </w:r>
      <w:r>
        <w:rPr>
          <w:rFonts w:hint="eastAsia" w:ascii="宋体" w:hAnsi="宋体" w:eastAsia="宋体" w:cs="宋体"/>
          <w:sz w:val="24"/>
          <w:szCs w:val="24"/>
          <w:lang w:eastAsia="zh-CN"/>
        </w:rPr>
        <w:t>不小于调高架的</w:t>
      </w:r>
      <w:r>
        <w:rPr>
          <w:rFonts w:hint="eastAsia" w:ascii="宋体" w:hAnsi="宋体" w:eastAsia="宋体" w:cs="宋体"/>
          <w:sz w:val="24"/>
          <w:szCs w:val="24"/>
          <w:lang w:val="en-US" w:eastAsia="zh-CN"/>
        </w:rPr>
        <w:t>1/3，数量为50付，</w:t>
      </w:r>
      <w:r>
        <w:rPr>
          <w:rFonts w:hint="eastAsia" w:ascii="宋体" w:hAnsi="宋体" w:eastAsia="宋体" w:cs="宋体"/>
          <w:sz w:val="24"/>
          <w:szCs w:val="24"/>
        </w:rPr>
        <w:t>各结构件焊接质量保证</w:t>
      </w:r>
      <w:r>
        <w:rPr>
          <w:rFonts w:hint="eastAsia" w:ascii="宋体" w:hAnsi="宋体" w:eastAsia="宋体" w:cs="宋体"/>
          <w:sz w:val="24"/>
          <w:szCs w:val="24"/>
          <w:lang w:eastAsia="zh-CN"/>
        </w:rPr>
        <w:t>；</w:t>
      </w:r>
      <w:r>
        <w:rPr>
          <w:rFonts w:hint="eastAsia" w:ascii="宋体" w:hAnsi="宋体" w:eastAsia="宋体" w:cs="宋体"/>
          <w:kern w:val="2"/>
          <w:sz w:val="24"/>
          <w:szCs w:val="24"/>
          <w:highlight w:val="none"/>
          <w:lang w:val="en-US" w:eastAsia="zh-CN" w:bidi="ar-SA"/>
        </w:rPr>
        <w:t>胶带机要求配置高强度不锈钢托辊。</w:t>
      </w:r>
    </w:p>
    <w:p w14:paraId="436D8D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机尾大架由机尾支座、缓冲床、机尾滚筒、清扫器</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可调节护煤板</w:t>
      </w:r>
      <w:r>
        <w:rPr>
          <w:rFonts w:hint="eastAsia" w:ascii="宋体" w:hAnsi="宋体" w:eastAsia="宋体" w:cs="宋体"/>
          <w:sz w:val="24"/>
          <w:szCs w:val="24"/>
        </w:rPr>
        <w:t>等组成，机尾特殊段按5节配置（≥20米），单套缓冲床长1.5米（配置2套），要求缓冲性能良好，摩擦系数小，耐磨性高，抗冲击。机尾大架工字钢外侧增设加强筋板，内侧用钢板全封闭，槽型架用不小于14#角钢做主架，两端焊接与大架连接钢板，用螺栓固定，每节机尾纵梁增加φ30mm加强拉杆两根，机尾滚筒固定座加强，固定螺栓不小于M30mm，强度不小于</w:t>
      </w:r>
      <w:r>
        <w:rPr>
          <w:rFonts w:hint="eastAsia" w:ascii="宋体" w:hAnsi="宋体" w:eastAsia="宋体" w:cs="宋体"/>
          <w:sz w:val="24"/>
          <w:szCs w:val="24"/>
          <w:lang w:val="en-US" w:eastAsia="zh-CN"/>
        </w:rPr>
        <w:t>10</w:t>
      </w:r>
      <w:r>
        <w:rPr>
          <w:rFonts w:hint="eastAsia" w:ascii="宋体" w:hAnsi="宋体" w:eastAsia="宋体" w:cs="宋体"/>
          <w:sz w:val="24"/>
          <w:szCs w:val="24"/>
        </w:rPr>
        <w:t>.8级。</w:t>
      </w:r>
    </w:p>
    <w:p w14:paraId="7750694B">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机头</w:t>
      </w:r>
      <w:r>
        <w:rPr>
          <w:rFonts w:hint="eastAsia" w:ascii="宋体" w:hAnsi="宋体" w:eastAsia="宋体" w:cs="宋体"/>
          <w:sz w:val="24"/>
          <w:szCs w:val="24"/>
          <w:lang w:eastAsia="zh-CN"/>
        </w:rPr>
        <w:t>、机尾</w:t>
      </w:r>
      <w:r>
        <w:rPr>
          <w:rFonts w:hint="eastAsia" w:ascii="宋体" w:hAnsi="宋体" w:eastAsia="宋体" w:cs="宋体"/>
          <w:sz w:val="24"/>
          <w:szCs w:val="24"/>
        </w:rPr>
        <w:t>仓架段以及沿线要求全程安设安全</w:t>
      </w:r>
      <w:r>
        <w:rPr>
          <w:rFonts w:hint="eastAsia" w:ascii="宋体" w:hAnsi="宋体" w:eastAsia="宋体" w:cs="宋体"/>
          <w:sz w:val="24"/>
          <w:szCs w:val="24"/>
          <w:lang w:val="en-US" w:eastAsia="zh-CN"/>
        </w:rPr>
        <w:t>钢板</w:t>
      </w:r>
      <w:r>
        <w:rPr>
          <w:rFonts w:hint="eastAsia" w:ascii="宋体" w:hAnsi="宋体" w:eastAsia="宋体" w:cs="宋体"/>
          <w:sz w:val="24"/>
          <w:szCs w:val="24"/>
        </w:rPr>
        <w:t>防护网（包括动力部部位）。</w:t>
      </w:r>
    </w:p>
    <w:p w14:paraId="6777813C">
      <w:pPr>
        <w:keepNext w:val="0"/>
        <w:keepLines w:val="0"/>
        <w:pageBreakBefore w:val="0"/>
        <w:widowControl/>
        <w:suppressLineNumbers w:val="0"/>
        <w:kinsoku/>
        <w:wordWrap/>
        <w:overflowPunct/>
        <w:topLinePunct w:val="0"/>
        <w:bidi w:val="0"/>
        <w:spacing w:line="360" w:lineRule="auto"/>
        <w:ind w:firstLine="480" w:firstLineChars="200"/>
        <w:jc w:val="left"/>
        <w:textAlignment w:val="auto"/>
        <w:rPr>
          <w:rFonts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lang w:eastAsia="zh-CN"/>
        </w:rPr>
        <w:t>皮带机</w:t>
      </w:r>
      <w:r>
        <w:rPr>
          <w:rFonts w:hint="eastAsia" w:ascii="宋体" w:hAnsi="宋体" w:eastAsia="宋体" w:cs="宋体"/>
          <w:sz w:val="24"/>
          <w:szCs w:val="24"/>
        </w:rPr>
        <w:t>采用永磁滚筒驱动，绝缘等级H级</w:t>
      </w:r>
      <w:r>
        <w:rPr>
          <w:rFonts w:hint="eastAsia" w:ascii="宋体" w:hAnsi="宋体" w:eastAsia="宋体" w:cs="宋体"/>
          <w:kern w:val="0"/>
          <w:sz w:val="24"/>
          <w:szCs w:val="24"/>
          <w:highlight w:val="none"/>
          <w:lang w:val="en-US" w:eastAsia="zh-CN" w:bidi="ar-SA"/>
        </w:rPr>
        <w:t>,</w:t>
      </w:r>
      <w:r>
        <w:rPr>
          <w:rFonts w:hint="eastAsia" w:ascii="宋体" w:hAnsi="宋体" w:eastAsia="宋体" w:cs="宋体"/>
          <w:sz w:val="24"/>
          <w:szCs w:val="24"/>
        </w:rPr>
        <w:t>接线口为压盘式，具体配套事项及永磁滚筒厂家在签订协议时确定，但中标方必须按矿方及永磁滚筒尺寸配套设计皮带机头相关部件，整机含永磁滚筒</w:t>
      </w:r>
      <w:r>
        <w:rPr>
          <w:rFonts w:hint="eastAsia" w:ascii="宋体" w:hAnsi="宋体" w:eastAsia="宋体" w:cs="宋体"/>
          <w:sz w:val="24"/>
          <w:szCs w:val="24"/>
          <w:lang w:eastAsia="zh-CN"/>
        </w:rPr>
        <w:t>及其所有附件</w:t>
      </w:r>
      <w:r>
        <w:rPr>
          <w:rFonts w:hint="eastAsia" w:ascii="宋体" w:hAnsi="宋体" w:eastAsia="宋体" w:cs="宋体"/>
          <w:sz w:val="24"/>
          <w:szCs w:val="24"/>
        </w:rPr>
        <w:t>。</w:t>
      </w:r>
    </w:p>
    <w:p w14:paraId="305A68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8.</w:t>
      </w:r>
      <w:r>
        <w:rPr>
          <w:rFonts w:hint="eastAsia" w:ascii="宋体" w:hAnsi="宋体" w:eastAsia="宋体" w:cs="宋体"/>
          <w:sz w:val="24"/>
          <w:szCs w:val="24"/>
        </w:rPr>
        <w:t>皮带机配套自动卷带装置一套</w:t>
      </w:r>
      <w:r>
        <w:rPr>
          <w:rFonts w:hint="eastAsia" w:ascii="宋体" w:hAnsi="宋体" w:eastAsia="宋体" w:cs="宋体"/>
          <w:sz w:val="24"/>
          <w:szCs w:val="24"/>
          <w:lang w:eastAsia="zh-CN"/>
        </w:rPr>
        <w:t>，</w:t>
      </w:r>
      <w:r>
        <w:rPr>
          <w:rFonts w:hint="eastAsia" w:ascii="宋体" w:hAnsi="宋体" w:eastAsia="宋体" w:cs="宋体"/>
          <w:sz w:val="24"/>
          <w:szCs w:val="24"/>
        </w:rPr>
        <w:t>张紧装置要求带张力下降保护、行程位置、张力显示和油缸保护； 并可实现储带仓胶带回收自动化操作，胶带张力自动调节，装有快速响应的拉紧力自动补偿功能、瞬时张力监测装置、蓄能站和限位开关；启动拉紧力和正常运行拉力可根据皮带机张力的需要任意调节；具有断带时自动停机和打滑时自动增加拉紧力等保护功能；可与集控装置连接实现信号传输，实现对该装置的就地和远距离控制。液压张紧绞车具备高、低两种速度运行区域及扭矩输出功能，张紧时提供低速度、大扭矩以适应液压张紧需要，收放带时提供高速度、小扭矩，提高系统张紧力调节及收放带协调控制效率。输出扭矩可通过系统安全阀设定，防止过载损坏设备</w:t>
      </w:r>
      <w:r>
        <w:rPr>
          <w:rFonts w:hint="eastAsia" w:ascii="宋体" w:hAnsi="宋体" w:eastAsia="宋体" w:cs="宋体"/>
          <w:sz w:val="24"/>
          <w:szCs w:val="24"/>
          <w:lang w:eastAsia="zh-CN"/>
        </w:rPr>
        <w:t>。</w:t>
      </w:r>
    </w:p>
    <w:p w14:paraId="745224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lang w:val="en-US" w:eastAsia="zh-CN"/>
        </w:rPr>
        <w:t>9.</w:t>
      </w:r>
      <w:r>
        <w:rPr>
          <w:rFonts w:hint="eastAsia" w:ascii="宋体" w:hAnsi="宋体" w:eastAsia="宋体" w:cs="宋体"/>
          <w:sz w:val="24"/>
          <w:szCs w:val="24"/>
        </w:rPr>
        <w:t>动力部工况监测，要求与自动化设备配置相适应，具有实时监测永磁滚筒油温、定子绕组温度、轴承温度、冷却水压力、冷却水温度、轴承震动监测等数据采集功能及</w:t>
      </w:r>
      <w:r>
        <w:rPr>
          <w:rFonts w:hint="eastAsia" w:ascii="宋体" w:hAnsi="宋体" w:eastAsia="宋体" w:cs="宋体"/>
          <w:sz w:val="24"/>
          <w:szCs w:val="24"/>
          <w:lang w:eastAsia="zh-CN"/>
        </w:rPr>
        <w:t>远程</w:t>
      </w:r>
      <w:r>
        <w:rPr>
          <w:rFonts w:hint="eastAsia" w:ascii="宋体" w:hAnsi="宋体" w:eastAsia="宋体" w:cs="宋体"/>
          <w:sz w:val="24"/>
          <w:szCs w:val="24"/>
        </w:rPr>
        <w:t>控制接口。</w:t>
      </w:r>
    </w:p>
    <w:p w14:paraId="2A8F599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lang w:val="en-US" w:eastAsia="zh-CN"/>
        </w:rPr>
        <w:t>10.</w:t>
      </w:r>
      <w:r>
        <w:rPr>
          <w:rFonts w:hint="eastAsia" w:ascii="宋体" w:hAnsi="宋体" w:eastAsia="宋体" w:cs="宋体"/>
          <w:sz w:val="24"/>
          <w:szCs w:val="24"/>
        </w:rPr>
        <w:t>皮带机采用逆止器+液压盘式制动闸进行制动，</w:t>
      </w:r>
      <w:r>
        <w:rPr>
          <w:rFonts w:hint="eastAsia" w:ascii="宋体" w:hAnsi="宋体" w:eastAsia="宋体" w:cs="宋体"/>
          <w:sz w:val="24"/>
          <w:szCs w:val="24"/>
          <w:lang w:eastAsia="zh-CN"/>
        </w:rPr>
        <w:t>并同时适用于上、下山运输方式，</w:t>
      </w:r>
      <w:r>
        <w:rPr>
          <w:rFonts w:hint="eastAsia" w:ascii="宋体" w:hAnsi="宋体" w:eastAsia="宋体" w:cs="宋体"/>
          <w:sz w:val="24"/>
          <w:szCs w:val="24"/>
        </w:rPr>
        <w:t>制动力矩符合要求，保证制动器工作平稳，具备系统突然失电状态下的软制动功能。</w:t>
      </w:r>
    </w:p>
    <w:p w14:paraId="3580B3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1.</w:t>
      </w:r>
      <w:r>
        <w:rPr>
          <w:rFonts w:hint="eastAsia" w:ascii="宋体" w:hAnsi="宋体" w:eastAsia="宋体" w:cs="宋体"/>
          <w:sz w:val="24"/>
          <w:szCs w:val="24"/>
        </w:rPr>
        <w:t>胶带接头强度必须与胶带强度相匹配。配置胶带穿条、带扣（数量与安装长度接头数匹配），皮带机配置钉扣机2台，选用机械式钉扣机。</w:t>
      </w:r>
    </w:p>
    <w:p w14:paraId="0910E0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12.机头、机尾仓架段以及沿线要求全程安设安全防护网（包括动力部部位），护网高度800mm。</w:t>
      </w:r>
    </w:p>
    <w:p w14:paraId="4AF053DB">
      <w:pPr>
        <w:pStyle w:val="8"/>
        <w:rPr>
          <w:rFonts w:hint="eastAsia"/>
          <w:lang w:val="en-US" w:eastAsia="zh-CN"/>
        </w:rPr>
      </w:pPr>
    </w:p>
    <w:p w14:paraId="1D49A83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s="宋体"/>
          <w:b/>
          <w:bCs/>
          <w:sz w:val="24"/>
          <w:szCs w:val="24"/>
        </w:rPr>
      </w:pPr>
      <w:r>
        <w:rPr>
          <w:rFonts w:hint="eastAsia" w:ascii="宋体" w:hAnsi="宋体" w:eastAsia="宋体" w:cs="宋体"/>
          <w:b/>
          <w:bCs/>
          <w:sz w:val="24"/>
          <w:szCs w:val="24"/>
        </w:rPr>
        <w:t>（二）永磁电动滚筒技术要求</w:t>
      </w:r>
    </w:p>
    <w:p w14:paraId="4BD39C9F">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永磁电动滚筒主要性能参数</w:t>
      </w:r>
    </w:p>
    <w:p w14:paraId="41599754">
      <w:pPr>
        <w:keepNext w:val="0"/>
        <w:keepLines w:val="0"/>
        <w:pageBreakBefore w:val="0"/>
        <w:widowControl w:val="0"/>
        <w:kinsoku/>
        <w:wordWrap/>
        <w:overflowPunct/>
        <w:topLinePunct w:val="0"/>
        <w:autoSpaceDE/>
        <w:autoSpaceDN/>
        <w:bidi w:val="0"/>
        <w:adjustRightInd/>
        <w:snapToGrid/>
        <w:spacing w:line="360" w:lineRule="auto"/>
        <w:ind w:firstLine="420" w:firstLineChars="175"/>
        <w:textAlignment w:val="auto"/>
        <w:rPr>
          <w:rFonts w:ascii="宋体" w:hAnsi="宋体" w:eastAsia="宋体" w:cs="宋体"/>
          <w:color w:val="auto"/>
          <w:sz w:val="24"/>
          <w:szCs w:val="24"/>
        </w:rPr>
      </w:pPr>
      <w:r>
        <w:rPr>
          <w:rFonts w:hint="eastAsia" w:ascii="宋体" w:hAnsi="宋体" w:eastAsia="宋体" w:cs="宋体"/>
          <w:color w:val="auto"/>
          <w:sz w:val="24"/>
          <w:szCs w:val="24"/>
        </w:rPr>
        <w:t>（1）规格型号：STYB</w:t>
      </w:r>
      <w:r>
        <w:rPr>
          <w:rFonts w:hint="eastAsia" w:ascii="宋体" w:hAnsi="宋体" w:eastAsia="宋体" w:cs="宋体"/>
          <w:color w:val="auto"/>
          <w:sz w:val="24"/>
          <w:szCs w:val="24"/>
          <w:lang w:val="en-US" w:eastAsia="zh-CN"/>
        </w:rPr>
        <w:t>315</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3.5</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1000</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1200</w:t>
      </w:r>
      <w:r>
        <w:rPr>
          <w:rFonts w:hint="eastAsia" w:ascii="宋体" w:hAnsi="宋体" w:eastAsia="宋体" w:cs="宋体"/>
          <w:color w:val="auto"/>
          <w:sz w:val="24"/>
          <w:szCs w:val="24"/>
        </w:rPr>
        <w:t>（1140/660）</w:t>
      </w:r>
    </w:p>
    <w:p w14:paraId="2CC5E22D">
      <w:pPr>
        <w:spacing w:line="360" w:lineRule="auto"/>
        <w:ind w:firstLine="420" w:firstLineChars="175"/>
        <w:rPr>
          <w:rFonts w:ascii="宋体" w:hAnsi="宋体" w:eastAsia="宋体" w:cs="宋体"/>
          <w:sz w:val="24"/>
          <w:szCs w:val="24"/>
        </w:rPr>
      </w:pPr>
      <w:r>
        <w:rPr>
          <w:rFonts w:hint="eastAsia" w:ascii="宋体" w:hAnsi="宋体" w:eastAsia="宋体" w:cs="宋体"/>
          <w:sz w:val="24"/>
          <w:szCs w:val="24"/>
        </w:rPr>
        <w:t xml:space="preserve">（2）额定功率: </w:t>
      </w:r>
      <w:r>
        <w:rPr>
          <w:rFonts w:hint="eastAsia" w:ascii="宋体" w:hAnsi="宋体" w:eastAsia="宋体" w:cs="宋体"/>
          <w:sz w:val="24"/>
          <w:szCs w:val="24"/>
          <w:lang w:val="en-US" w:eastAsia="zh-CN"/>
        </w:rPr>
        <w:t>2×</w:t>
      </w:r>
      <w:r>
        <w:rPr>
          <w:rFonts w:hint="eastAsia" w:ascii="宋体" w:hAnsi="宋体" w:eastAsia="宋体" w:cs="宋体"/>
          <w:sz w:val="24"/>
          <w:szCs w:val="24"/>
        </w:rPr>
        <w:t>315KW</w:t>
      </w:r>
    </w:p>
    <w:p w14:paraId="187F796C">
      <w:pPr>
        <w:spacing w:line="360" w:lineRule="auto"/>
        <w:ind w:firstLine="420" w:firstLineChars="175"/>
        <w:rPr>
          <w:rFonts w:ascii="宋体" w:hAnsi="宋体" w:eastAsia="宋体" w:cs="宋体"/>
          <w:sz w:val="24"/>
          <w:szCs w:val="24"/>
        </w:rPr>
      </w:pPr>
      <w:r>
        <w:rPr>
          <w:rFonts w:hint="eastAsia" w:ascii="宋体" w:hAnsi="宋体" w:eastAsia="宋体" w:cs="宋体"/>
          <w:sz w:val="24"/>
          <w:szCs w:val="24"/>
        </w:rPr>
        <w:t>（3）额定电压：1140/660V</w:t>
      </w:r>
    </w:p>
    <w:p w14:paraId="6D49E712">
      <w:pPr>
        <w:spacing w:line="360" w:lineRule="auto"/>
        <w:ind w:firstLine="420" w:firstLineChars="175"/>
        <w:rPr>
          <w:rFonts w:ascii="宋体" w:hAnsi="宋体" w:eastAsia="宋体" w:cs="宋体"/>
          <w:sz w:val="24"/>
          <w:szCs w:val="24"/>
        </w:rPr>
      </w:pPr>
      <w:r>
        <w:rPr>
          <w:rFonts w:hint="eastAsia" w:ascii="宋体" w:hAnsi="宋体" w:eastAsia="宋体" w:cs="宋体"/>
          <w:sz w:val="24"/>
          <w:szCs w:val="24"/>
        </w:rPr>
        <w:t>（4）额定转速：</w:t>
      </w:r>
      <w:r>
        <w:rPr>
          <w:rFonts w:hint="eastAsia" w:ascii="宋体" w:hAnsi="宋体" w:eastAsia="宋体" w:cs="宋体"/>
          <w:color w:val="auto"/>
          <w:sz w:val="24"/>
          <w:szCs w:val="24"/>
        </w:rPr>
        <w:t>75r/min</w:t>
      </w:r>
    </w:p>
    <w:p w14:paraId="1E9CA6FB">
      <w:pPr>
        <w:spacing w:line="360" w:lineRule="auto"/>
        <w:ind w:firstLine="420" w:firstLineChars="175"/>
        <w:rPr>
          <w:rFonts w:hint="default" w:ascii="宋体" w:hAnsi="宋体" w:eastAsia="宋体" w:cs="宋体"/>
          <w:sz w:val="24"/>
          <w:szCs w:val="24"/>
          <w:lang w:val="en-US" w:eastAsia="zh-CN"/>
        </w:rPr>
      </w:pPr>
      <w:r>
        <w:rPr>
          <w:rFonts w:hint="eastAsia" w:ascii="宋体" w:hAnsi="宋体" w:eastAsia="宋体" w:cs="宋体"/>
          <w:sz w:val="24"/>
          <w:szCs w:val="24"/>
        </w:rPr>
        <w:t>（5）带速范围：</w:t>
      </w:r>
      <w:r>
        <w:rPr>
          <w:rFonts w:hint="eastAsia" w:ascii="宋体" w:hAnsi="宋体" w:eastAsia="宋体" w:cs="宋体"/>
          <w:sz w:val="24"/>
          <w:szCs w:val="24"/>
          <w:lang w:val="en-US" w:eastAsia="zh-CN"/>
        </w:rPr>
        <w:t>0</w:t>
      </w:r>
      <w:r>
        <w:rPr>
          <w:rFonts w:hint="eastAsia" w:ascii="宋体" w:hAnsi="宋体" w:eastAsia="宋体" w:cs="宋体"/>
          <w:sz w:val="24"/>
          <w:szCs w:val="24"/>
        </w:rPr>
        <w:t>-</w:t>
      </w:r>
      <w:r>
        <w:rPr>
          <w:rFonts w:hint="eastAsia" w:ascii="宋体" w:hAnsi="宋体" w:eastAsia="宋体" w:cs="宋体"/>
          <w:sz w:val="24"/>
          <w:szCs w:val="24"/>
          <w:lang w:val="en-US" w:eastAsia="zh-CN"/>
        </w:rPr>
        <w:t>3.5</w:t>
      </w:r>
      <w:r>
        <w:rPr>
          <w:rFonts w:hint="eastAsia" w:ascii="宋体" w:hAnsi="宋体" w:eastAsia="宋体" w:cs="宋体"/>
          <w:sz w:val="24"/>
          <w:szCs w:val="24"/>
        </w:rPr>
        <w:t>(m/s)</w:t>
      </w:r>
      <w:r>
        <w:rPr>
          <w:rFonts w:hint="eastAsia" w:ascii="宋体" w:hAnsi="宋体" w:eastAsia="宋体" w:cs="宋体"/>
          <w:sz w:val="24"/>
          <w:szCs w:val="24"/>
          <w:lang w:val="en-US" w:eastAsia="zh-CN"/>
        </w:rPr>
        <w:t xml:space="preserve">   可调</w:t>
      </w:r>
    </w:p>
    <w:p w14:paraId="4E71D692">
      <w:pPr>
        <w:spacing w:line="360" w:lineRule="auto"/>
        <w:ind w:firstLine="420" w:firstLineChars="175"/>
        <w:rPr>
          <w:rFonts w:ascii="宋体" w:hAnsi="宋体" w:eastAsia="宋体" w:cs="宋体"/>
          <w:sz w:val="24"/>
          <w:szCs w:val="24"/>
        </w:rPr>
      </w:pPr>
      <w:r>
        <w:rPr>
          <w:rFonts w:hint="eastAsia" w:ascii="宋体" w:hAnsi="宋体" w:eastAsia="宋体" w:cs="宋体"/>
          <w:sz w:val="24"/>
          <w:szCs w:val="24"/>
        </w:rPr>
        <w:t>（6）滚筒直径：φ</w:t>
      </w:r>
      <w:r>
        <w:rPr>
          <w:rFonts w:hint="eastAsia" w:ascii="宋体" w:hAnsi="宋体" w:eastAsia="宋体" w:cs="宋体"/>
          <w:sz w:val="24"/>
          <w:szCs w:val="24"/>
          <w:lang w:val="en-US" w:eastAsia="zh-CN"/>
        </w:rPr>
        <w:t>1000</w:t>
      </w:r>
      <w:r>
        <w:rPr>
          <w:rFonts w:hint="eastAsia" w:ascii="宋体" w:hAnsi="宋体" w:eastAsia="宋体" w:cs="宋体"/>
          <w:sz w:val="24"/>
          <w:szCs w:val="24"/>
        </w:rPr>
        <w:t>mm</w:t>
      </w:r>
    </w:p>
    <w:p w14:paraId="418FD923">
      <w:pPr>
        <w:spacing w:line="360" w:lineRule="auto"/>
        <w:ind w:firstLine="420" w:firstLineChars="175"/>
        <w:rPr>
          <w:rFonts w:ascii="宋体" w:hAnsi="宋体" w:eastAsia="宋体" w:cs="宋体"/>
          <w:sz w:val="24"/>
          <w:szCs w:val="24"/>
        </w:rPr>
      </w:pPr>
      <w:r>
        <w:rPr>
          <w:rFonts w:hint="eastAsia" w:ascii="宋体" w:hAnsi="宋体" w:eastAsia="宋体" w:cs="宋体"/>
          <w:sz w:val="24"/>
          <w:szCs w:val="24"/>
        </w:rPr>
        <w:t>（7）适用带宽：</w:t>
      </w:r>
      <w:r>
        <w:rPr>
          <w:rFonts w:hint="eastAsia" w:ascii="宋体" w:hAnsi="宋体" w:eastAsia="宋体" w:cs="宋体"/>
          <w:sz w:val="24"/>
          <w:szCs w:val="24"/>
          <w:lang w:val="en-US" w:eastAsia="zh-CN"/>
        </w:rPr>
        <w:t>1200</w:t>
      </w:r>
      <w:r>
        <w:rPr>
          <w:rFonts w:hint="eastAsia" w:ascii="宋体" w:hAnsi="宋体" w:eastAsia="宋体" w:cs="宋体"/>
          <w:sz w:val="24"/>
          <w:szCs w:val="24"/>
        </w:rPr>
        <w:t>mm</w:t>
      </w:r>
    </w:p>
    <w:p w14:paraId="12172A82">
      <w:pPr>
        <w:spacing w:line="360" w:lineRule="auto"/>
        <w:ind w:firstLine="420" w:firstLineChars="175"/>
        <w:rPr>
          <w:rFonts w:ascii="宋体" w:hAnsi="宋体" w:eastAsia="宋体" w:cs="宋体"/>
          <w:sz w:val="24"/>
          <w:szCs w:val="24"/>
        </w:rPr>
      </w:pPr>
      <w:r>
        <w:rPr>
          <w:rFonts w:hint="eastAsia" w:ascii="宋体" w:hAnsi="宋体" w:eastAsia="宋体" w:cs="宋体"/>
          <w:sz w:val="24"/>
          <w:szCs w:val="24"/>
        </w:rPr>
        <w:t>（8）防护等级：IP55</w:t>
      </w:r>
    </w:p>
    <w:p w14:paraId="5D38C0ED">
      <w:pPr>
        <w:spacing w:line="360" w:lineRule="auto"/>
        <w:ind w:firstLine="420" w:firstLineChars="175"/>
        <w:rPr>
          <w:rFonts w:ascii="宋体" w:hAnsi="宋体" w:eastAsia="宋体" w:cs="宋体"/>
          <w:sz w:val="24"/>
          <w:szCs w:val="24"/>
        </w:rPr>
      </w:pPr>
      <w:r>
        <w:rPr>
          <w:rFonts w:hint="eastAsia" w:ascii="宋体" w:hAnsi="宋体" w:eastAsia="宋体" w:cs="宋体"/>
          <w:sz w:val="24"/>
          <w:szCs w:val="24"/>
        </w:rPr>
        <w:t xml:space="preserve">（9）冷却方式：IC3W7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(水冷)</w:t>
      </w:r>
    </w:p>
    <w:p w14:paraId="094ECBDA">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(10)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绝缘等级：H级</w:t>
      </w:r>
    </w:p>
    <w:p w14:paraId="506775A4">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技术</w:t>
      </w:r>
      <w:r>
        <w:rPr>
          <w:rFonts w:hint="eastAsia" w:ascii="宋体" w:hAnsi="宋体" w:eastAsia="宋体" w:cs="宋体"/>
          <w:sz w:val="24"/>
          <w:szCs w:val="24"/>
          <w:lang w:eastAsia="zh-CN"/>
        </w:rPr>
        <w:t>要求</w:t>
      </w:r>
    </w:p>
    <w:p w14:paraId="108FFFA5">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(1)永磁同步电动滚筒可在5Hz─额定频率的任意转速下长时间运行。</w:t>
      </w:r>
    </w:p>
    <w:p w14:paraId="239776CC">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(2)永磁滚筒在运行时，轴承应平稳轻快，无停滞现象，声音均匀和谐，不夹杂有害杂音。</w:t>
      </w:r>
    </w:p>
    <w:p w14:paraId="6BB5FB75">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(3)当三相电源平衡时，永磁滚筒三相空载电流的任何一相电流与三相平均值的偏差（绝对值）不得大于平均值的10%。绕组及引线应满足额定电流要求，同时满足绝缘等级H。</w:t>
      </w:r>
    </w:p>
    <w:p w14:paraId="71BC2407">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(4)永磁同步电动滚筒出厂前，测试绕组冷态直流电阻，绝缘电阻，交流耐压试验，空载运行试验，匝间绝缘试验、振动、噪声、滚筒外径圆跳动试验等，并出具出厂试验报告。</w:t>
      </w:r>
    </w:p>
    <w:p w14:paraId="005666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(5)出厂前包装严实，防止设备在运输、卸货、搬运、储存、安装和运行中损坏。</w:t>
      </w:r>
    </w:p>
    <w:p w14:paraId="469BAB04">
      <w:pPr>
        <w:pStyle w:val="16"/>
        <w:keepNext w:val="0"/>
        <w:keepLines w:val="0"/>
        <w:pageBreakBefore w:val="0"/>
        <w:widowControl w:val="0"/>
        <w:kinsoku/>
        <w:wordWrap/>
        <w:overflowPunct/>
        <w:topLinePunct w:val="0"/>
        <w:autoSpaceDE/>
        <w:autoSpaceDN/>
        <w:bidi w:val="0"/>
        <w:adjustRightInd/>
        <w:snapToGrid/>
        <w:ind w:firstLine="480"/>
        <w:textAlignment w:val="auto"/>
        <w:rPr>
          <w:rFonts w:eastAsia="宋体" w:cs="宋体"/>
          <w:sz w:val="24"/>
          <w:szCs w:val="24"/>
        </w:rPr>
      </w:pPr>
      <w:r>
        <w:rPr>
          <w:rFonts w:hint="eastAsia" w:eastAsia="宋体" w:cs="宋体"/>
          <w:sz w:val="24"/>
          <w:szCs w:val="24"/>
        </w:rPr>
        <w:t>(6）永磁同步电动滚筒转子耐受温度不低于180℃。在三相短路（永磁滚筒电流冲击最大）、退磁风险最大时，磁钢退磁每10年退磁率&lt;1%，而且抗退磁温度要远高于三相短路情况下退磁温度，使用寿命不低于20年。</w:t>
      </w:r>
    </w:p>
    <w:p w14:paraId="129349E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rPr>
        <w:t>(7)滚筒的筒体的包覆层采用</w:t>
      </w:r>
      <w:r>
        <w:rPr>
          <w:rFonts w:hint="eastAsia" w:ascii="宋体" w:hAnsi="宋体" w:eastAsia="宋体" w:cs="宋体"/>
          <w:sz w:val="24"/>
          <w:szCs w:val="24"/>
          <w:lang w:eastAsia="zh-CN"/>
        </w:rPr>
        <w:t>陶瓷包胶</w:t>
      </w:r>
      <w:r>
        <w:rPr>
          <w:rFonts w:hint="eastAsia" w:ascii="宋体" w:hAnsi="宋体" w:eastAsia="宋体" w:cs="宋体"/>
          <w:sz w:val="24"/>
          <w:szCs w:val="24"/>
        </w:rPr>
        <w:t>，其阻燃、抗静电性能符合MT962标准的要求，提供相应的矿用产品安全标志证书</w:t>
      </w:r>
      <w:r>
        <w:rPr>
          <w:rFonts w:hint="eastAsia" w:ascii="宋体" w:hAnsi="宋体" w:eastAsia="宋体" w:cs="宋体"/>
          <w:sz w:val="24"/>
          <w:szCs w:val="24"/>
          <w:lang w:eastAsia="zh-CN"/>
        </w:rPr>
        <w:t>，陶瓷包胶质保</w:t>
      </w:r>
      <w:r>
        <w:rPr>
          <w:rFonts w:hint="eastAsia" w:ascii="宋体" w:hAnsi="宋体" w:eastAsia="宋体" w:cs="宋体"/>
          <w:sz w:val="24"/>
          <w:szCs w:val="24"/>
          <w:lang w:val="en-US" w:eastAsia="zh-CN"/>
        </w:rPr>
        <w:t>5年。</w:t>
      </w:r>
    </w:p>
    <w:p w14:paraId="3A2811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(8)永磁电动滚筒前后轴承设计有专用注排油口，方便更换和补加润滑油脂，采用免维护设计，</w:t>
      </w:r>
      <w:r>
        <w:rPr>
          <w:rFonts w:hint="eastAsia" w:ascii="宋体" w:hAnsi="宋体" w:eastAsia="宋体" w:cs="宋体"/>
          <w:sz w:val="24"/>
          <w:szCs w:val="24"/>
          <w:lang w:eastAsia="zh-CN"/>
        </w:rPr>
        <w:t>永磁电滚筒质保</w:t>
      </w:r>
      <w:r>
        <w:rPr>
          <w:rFonts w:hint="eastAsia" w:ascii="宋体" w:hAnsi="宋体" w:eastAsia="宋体" w:cs="宋体"/>
          <w:sz w:val="24"/>
          <w:szCs w:val="24"/>
          <w:lang w:val="en-US" w:eastAsia="zh-CN"/>
        </w:rPr>
        <w:t>10年；滚筒包胶必须附第三方检测检验报告（送检单位为甘肃靖煤能源有限公司大水头煤矿分公司）。</w:t>
      </w:r>
    </w:p>
    <w:p w14:paraId="3B36DD13">
      <w:pPr>
        <w:pStyle w:val="16"/>
        <w:keepNext w:val="0"/>
        <w:keepLines w:val="0"/>
        <w:pageBreakBefore w:val="0"/>
        <w:widowControl w:val="0"/>
        <w:kinsoku/>
        <w:wordWrap/>
        <w:overflowPunct/>
        <w:topLinePunct w:val="0"/>
        <w:autoSpaceDE/>
        <w:autoSpaceDN/>
        <w:bidi w:val="0"/>
        <w:adjustRightInd/>
        <w:snapToGrid/>
        <w:ind w:firstLine="480"/>
        <w:textAlignment w:val="auto"/>
        <w:rPr>
          <w:rFonts w:eastAsia="宋体" w:cs="宋体"/>
          <w:sz w:val="24"/>
          <w:szCs w:val="24"/>
        </w:rPr>
      </w:pPr>
      <w:r>
        <w:rPr>
          <w:rFonts w:hint="eastAsia" w:eastAsia="宋体" w:cs="宋体"/>
          <w:sz w:val="24"/>
          <w:szCs w:val="24"/>
        </w:rPr>
        <w:t>（9）永磁电动滚筒定子预埋温度传感器测温PT100共2支，一用一备，实现对永磁电动滚筒的温度监测和保护,并进入集控系统予以监测。</w:t>
      </w:r>
    </w:p>
    <w:p w14:paraId="18AC07D4">
      <w:pPr>
        <w:pStyle w:val="16"/>
        <w:ind w:firstLine="480"/>
        <w:rPr>
          <w:rFonts w:eastAsia="宋体" w:cs="宋体"/>
          <w:sz w:val="24"/>
          <w:szCs w:val="24"/>
        </w:rPr>
      </w:pPr>
      <w:r>
        <w:rPr>
          <w:rFonts w:hint="eastAsia" w:eastAsia="宋体" w:cs="宋体"/>
          <w:sz w:val="24"/>
          <w:szCs w:val="24"/>
        </w:rPr>
        <w:t>（10）永磁滚筒前后轴承选用进口SKF轴承或FAG轴承。前后轴承均预埋温度传感器PT100，各2支，一用一备，可实时监测轴承温度，并可接入集控中心和变频器，以便实时监控。</w:t>
      </w:r>
    </w:p>
    <w:p w14:paraId="6B8B4DFD">
      <w:pPr>
        <w:pStyle w:val="16"/>
        <w:ind w:firstLine="480"/>
        <w:rPr>
          <w:rFonts w:eastAsia="宋体" w:cs="宋体"/>
          <w:sz w:val="24"/>
          <w:szCs w:val="24"/>
        </w:rPr>
      </w:pPr>
      <w:r>
        <w:rPr>
          <w:rFonts w:hint="eastAsia" w:eastAsia="宋体" w:cs="宋体"/>
          <w:sz w:val="24"/>
          <w:szCs w:val="24"/>
        </w:rPr>
        <w:t>（11）永磁电动滚筒具有恒转矩特性。起动转矩和过载转矩至少额定转矩的2倍。</w:t>
      </w:r>
    </w:p>
    <w:p w14:paraId="3B741134">
      <w:pPr>
        <w:pStyle w:val="16"/>
        <w:ind w:firstLine="0" w:firstLineChars="0"/>
        <w:rPr>
          <w:rFonts w:eastAsia="宋体" w:cs="宋体"/>
          <w:b/>
          <w:bCs/>
          <w:sz w:val="24"/>
          <w:szCs w:val="24"/>
        </w:rPr>
      </w:pPr>
      <w:r>
        <w:rPr>
          <w:rFonts w:hint="eastAsia" w:eastAsia="宋体" w:cs="宋体"/>
          <w:b/>
          <w:bCs/>
          <w:sz w:val="24"/>
          <w:szCs w:val="24"/>
        </w:rPr>
        <w:t>（</w:t>
      </w:r>
      <w:r>
        <w:rPr>
          <w:rFonts w:hint="eastAsia" w:eastAsia="宋体" w:cs="宋体"/>
          <w:b/>
          <w:bCs/>
          <w:sz w:val="24"/>
          <w:szCs w:val="24"/>
          <w:lang w:eastAsia="zh-CN"/>
        </w:rPr>
        <w:t>三</w:t>
      </w:r>
      <w:bookmarkStart w:id="0" w:name="_GoBack"/>
      <w:bookmarkEnd w:id="0"/>
      <w:r>
        <w:rPr>
          <w:rFonts w:hint="eastAsia" w:eastAsia="宋体" w:cs="宋体"/>
          <w:b/>
          <w:bCs/>
          <w:sz w:val="24"/>
          <w:szCs w:val="24"/>
        </w:rPr>
        <w:t>）自循环冷却系统</w:t>
      </w:r>
    </w:p>
    <w:p w14:paraId="705F30EB">
      <w:pPr>
        <w:spacing w:line="360" w:lineRule="auto"/>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自循环冷却系统主要性能参数</w:t>
      </w:r>
    </w:p>
    <w:p w14:paraId="0B49F045">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（1）产品型号：CCS-LQ-40</w:t>
      </w:r>
    </w:p>
    <w:p w14:paraId="2E1F6C29">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（2）水箱容积：200L</w:t>
      </w:r>
    </w:p>
    <w:p w14:paraId="32558DEC">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（3）换热功率：40KW</w:t>
      </w:r>
    </w:p>
    <w:p w14:paraId="712E5CA9">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（4）水 流 量：10m^3/h</w:t>
      </w:r>
    </w:p>
    <w:p w14:paraId="4452091B">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（5）水    压：0.4～0.6MPa</w:t>
      </w:r>
    </w:p>
    <w:p w14:paraId="687A146D">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（6）水泵电机：</w:t>
      </w:r>
      <w:r>
        <w:rPr>
          <w:rFonts w:hint="eastAsia" w:ascii="宋体" w:hAnsi="宋体" w:eastAsia="宋体" w:cs="宋体"/>
          <w:sz w:val="24"/>
          <w:szCs w:val="24"/>
          <w:lang w:eastAsia="zh-CN"/>
        </w:rPr>
        <w:t>不小于</w:t>
      </w:r>
      <w:r>
        <w:rPr>
          <w:rFonts w:hint="eastAsia" w:ascii="宋体" w:hAnsi="宋体" w:eastAsia="宋体" w:cs="宋体"/>
          <w:sz w:val="24"/>
          <w:szCs w:val="24"/>
          <w:lang w:val="en-US" w:eastAsia="zh-CN"/>
        </w:rPr>
        <w:t>3</w:t>
      </w:r>
      <w:r>
        <w:rPr>
          <w:rFonts w:hint="eastAsia" w:ascii="宋体" w:hAnsi="宋体" w:eastAsia="宋体" w:cs="宋体"/>
          <w:sz w:val="24"/>
          <w:szCs w:val="24"/>
        </w:rPr>
        <w:t>kw</w:t>
      </w:r>
    </w:p>
    <w:p w14:paraId="6A65DB60">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（7）风机电机：</w:t>
      </w:r>
      <w:r>
        <w:rPr>
          <w:rFonts w:hint="eastAsia" w:ascii="宋体" w:hAnsi="宋体" w:eastAsia="宋体" w:cs="宋体"/>
          <w:sz w:val="24"/>
          <w:szCs w:val="24"/>
          <w:lang w:eastAsia="zh-CN"/>
        </w:rPr>
        <w:t>不小于</w:t>
      </w:r>
      <w:r>
        <w:rPr>
          <w:rFonts w:hint="eastAsia" w:ascii="宋体" w:hAnsi="宋体" w:eastAsia="宋体" w:cs="宋体"/>
          <w:sz w:val="24"/>
          <w:szCs w:val="24"/>
          <w:lang w:val="en-US" w:eastAsia="zh-CN"/>
        </w:rPr>
        <w:t>3</w:t>
      </w:r>
      <w:r>
        <w:rPr>
          <w:rFonts w:hint="eastAsia" w:ascii="宋体" w:hAnsi="宋体" w:eastAsia="宋体" w:cs="宋体"/>
          <w:sz w:val="24"/>
          <w:szCs w:val="24"/>
        </w:rPr>
        <w:t>kw</w:t>
      </w:r>
    </w:p>
    <w:p w14:paraId="2423BD1D">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（8）电机电压：1140/660V</w:t>
      </w:r>
    </w:p>
    <w:p w14:paraId="32D45427">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（9）冷却介质：软化水或自来水</w:t>
      </w:r>
    </w:p>
    <w:p w14:paraId="045A4EEE">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0</w:t>
      </w:r>
      <w:r>
        <w:rPr>
          <w:rFonts w:hint="eastAsia" w:ascii="宋体" w:hAnsi="宋体" w:eastAsia="宋体" w:cs="宋体"/>
          <w:sz w:val="24"/>
          <w:szCs w:val="24"/>
        </w:rPr>
        <w:t>）噪声：不应超过</w:t>
      </w:r>
      <w:r>
        <w:rPr>
          <w:rFonts w:hint="eastAsia" w:ascii="宋体" w:hAnsi="宋体" w:eastAsia="宋体" w:cs="宋体"/>
          <w:sz w:val="24"/>
          <w:szCs w:val="24"/>
          <w:lang w:val="en-US" w:eastAsia="zh-CN"/>
        </w:rPr>
        <w:t>8</w:t>
      </w:r>
      <w:r>
        <w:rPr>
          <w:rFonts w:hint="eastAsia" w:ascii="宋体" w:hAnsi="宋体" w:eastAsia="宋体" w:cs="宋体"/>
          <w:sz w:val="24"/>
          <w:szCs w:val="24"/>
        </w:rPr>
        <w:t>0dB</w:t>
      </w:r>
    </w:p>
    <w:p w14:paraId="124125A4">
      <w:pPr>
        <w:pStyle w:val="16"/>
        <w:ind w:firstLine="0" w:firstLineChars="0"/>
        <w:rPr>
          <w:rFonts w:eastAsia="宋体" w:cs="宋体"/>
          <w:sz w:val="24"/>
          <w:szCs w:val="24"/>
        </w:rPr>
      </w:pPr>
      <w:r>
        <w:rPr>
          <w:rFonts w:hint="eastAsia" w:eastAsia="宋体" w:cs="宋体"/>
          <w:sz w:val="24"/>
          <w:szCs w:val="24"/>
        </w:rPr>
        <w:t>2</w:t>
      </w:r>
      <w:r>
        <w:rPr>
          <w:rFonts w:hint="eastAsia" w:eastAsia="宋体" w:cs="宋体"/>
          <w:sz w:val="24"/>
          <w:szCs w:val="24"/>
          <w:lang w:eastAsia="zh-CN"/>
        </w:rPr>
        <w:t>.</w:t>
      </w:r>
      <w:r>
        <w:rPr>
          <w:rFonts w:hint="eastAsia" w:eastAsia="宋体" w:cs="宋体"/>
          <w:sz w:val="24"/>
          <w:szCs w:val="24"/>
        </w:rPr>
        <w:t>技术指标</w:t>
      </w:r>
    </w:p>
    <w:p w14:paraId="20487C31">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（1）冷却效果：在环境温度≦35℃的情况下满足永磁滚筒和配套变频器冷却要求。</w:t>
      </w:r>
    </w:p>
    <w:p w14:paraId="06F8DAC5">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（2）自循环水冷机配套提供冷却水管路，采用单层编织高压橡胶软管，标配10 米×4 根/台，软管两端接头与矿用隔爆型永磁同步变频电动机、变频器、自循环水冷机接口配套。每台水冷装置另配 1 台泵站电机。</w:t>
      </w:r>
    </w:p>
    <w:p w14:paraId="48477B83">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（3）水泵、水箱及水箱支撑架使用304不锈钢材料。</w:t>
      </w:r>
    </w:p>
    <w:p w14:paraId="7B5CBDE6">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（4）冷却装置带有流量、水压、进、出口水温及水箱水位显示功能；流量、水压、水温、水箱水位信号应能接入控制箱，并具有异常报警、连锁保护功能。</w:t>
      </w:r>
    </w:p>
    <w:p w14:paraId="1C7C6760">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（5）水冷系统安装有止回阀可防止冷却水倒流，安装有背压阀能在停机时防止电机水腔内冷却水流回水箱。</w:t>
      </w:r>
    </w:p>
    <w:p w14:paraId="36D306D7">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（6）水冷系统中循环水泵及冷却风机的电机均具有煤安证和防爆证。</w:t>
      </w:r>
    </w:p>
    <w:p w14:paraId="526B2F99">
      <w:pPr>
        <w:pStyle w:val="4"/>
        <w:rPr>
          <w:rFonts w:hint="eastAsia"/>
          <w:color w:val="auto"/>
        </w:rPr>
      </w:pPr>
    </w:p>
    <w:p w14:paraId="52204F10">
      <w:pPr>
        <w:pageBreakBefore w:val="0"/>
        <w:kinsoku/>
        <w:wordWrap/>
        <w:overflowPunct/>
        <w:topLinePunct w:val="0"/>
        <w:bidi w:val="0"/>
        <w:adjustRightInd/>
        <w:snapToGrid/>
        <w:spacing w:line="360" w:lineRule="auto"/>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 xml:space="preserve">         </w:t>
      </w:r>
    </w:p>
    <w:p w14:paraId="2CA15E50">
      <w:pPr>
        <w:pageBreakBefore w:val="0"/>
        <w:kinsoku/>
        <w:wordWrap/>
        <w:overflowPunct/>
        <w:topLinePunct w:val="0"/>
        <w:bidi w:val="0"/>
        <w:adjustRightInd/>
        <w:snapToGrid/>
        <w:spacing w:line="360" w:lineRule="auto"/>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 xml:space="preserve">                      </w:t>
      </w:r>
    </w:p>
    <w:p w14:paraId="5EF50070">
      <w:pPr>
        <w:pStyle w:val="17"/>
        <w:spacing w:line="400" w:lineRule="exact"/>
        <w:jc w:val="both"/>
        <w:rPr>
          <w:rFonts w:hint="eastAsia" w:ascii="宋体" w:hAnsi="宋体" w:eastAsia="宋体" w:cs="宋体"/>
          <w:color w:val="auto"/>
          <w:sz w:val="24"/>
          <w:szCs w:val="24"/>
          <w:lang w:val="en-US" w:eastAsia="zh-CN"/>
        </w:rPr>
      </w:pPr>
    </w:p>
    <w:p w14:paraId="3427B29D">
      <w:pPr>
        <w:pStyle w:val="17"/>
        <w:spacing w:line="400" w:lineRule="exact"/>
        <w:jc w:val="both"/>
        <w:rPr>
          <w:rFonts w:hint="eastAsia" w:ascii="宋体" w:hAnsi="宋体" w:eastAsia="宋体" w:cs="宋体"/>
          <w:color w:val="auto"/>
          <w:sz w:val="24"/>
          <w:szCs w:val="24"/>
          <w:lang w:val="en-US" w:eastAsia="zh-CN"/>
        </w:rPr>
      </w:pPr>
    </w:p>
    <w:p w14:paraId="39CCC52F">
      <w:pPr>
        <w:pStyle w:val="17"/>
        <w:spacing w:line="400" w:lineRule="exact"/>
        <w:jc w:val="both"/>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w:t>
      </w:r>
    </w:p>
    <w:p w14:paraId="58DDCA2A">
      <w:pPr>
        <w:pageBreakBefore w:val="0"/>
        <w:kinsoku/>
        <w:wordWrap/>
        <w:overflowPunct/>
        <w:topLinePunct w:val="0"/>
        <w:bidi w:val="0"/>
        <w:adjustRightInd/>
        <w:snapToGrid/>
        <w:spacing w:line="360" w:lineRule="auto"/>
        <w:rPr>
          <w:rFonts w:hint="eastAsia" w:ascii="仿宋_GB2312" w:hAnsi="仿宋_GB2312" w:eastAsia="仿宋_GB2312" w:cs="仿宋_GB2312"/>
          <w:color w:val="auto"/>
          <w:sz w:val="24"/>
          <w:szCs w:val="24"/>
        </w:rPr>
      </w:pPr>
    </w:p>
    <w:p w14:paraId="5BB75090">
      <w:pPr>
        <w:pStyle w:val="5"/>
        <w:rPr>
          <w:rFonts w:hint="eastAsia" w:ascii="宋体" w:hAnsi="宋体" w:eastAsia="宋体" w:cs="宋体"/>
          <w:sz w:val="24"/>
          <w:szCs w:val="24"/>
        </w:rPr>
      </w:pPr>
    </w:p>
    <w:p w14:paraId="776F07F1">
      <w:pPr>
        <w:pStyle w:val="4"/>
        <w:rPr>
          <w:rFonts w:ascii="宋体" w:hAnsi="宋体" w:eastAsia="宋体" w:cs="宋体"/>
          <w:b/>
          <w:bCs/>
          <w:sz w:val="24"/>
          <w:szCs w:val="24"/>
        </w:rPr>
      </w:pPr>
    </w:p>
    <w:p w14:paraId="073DEA89">
      <w:pPr>
        <w:pStyle w:val="4"/>
        <w:rPr>
          <w:rFonts w:ascii="宋体" w:hAnsi="宋体" w:eastAsia="宋体" w:cs="宋体"/>
          <w:b/>
          <w:bCs/>
          <w:sz w:val="24"/>
          <w:szCs w:val="24"/>
        </w:rPr>
      </w:pPr>
    </w:p>
    <w:p w14:paraId="7ECC4D87">
      <w:pPr>
        <w:pStyle w:val="4"/>
        <w:rPr>
          <w:rFonts w:ascii="宋体" w:hAnsi="宋体" w:eastAsia="宋体" w:cs="宋体"/>
          <w:b/>
          <w:bCs/>
          <w:sz w:val="24"/>
          <w:szCs w:val="24"/>
        </w:rPr>
      </w:pPr>
    </w:p>
    <w:p w14:paraId="4115F14A">
      <w:pPr>
        <w:pStyle w:val="4"/>
        <w:rPr>
          <w:rFonts w:ascii="宋体" w:hAnsi="宋体" w:eastAsia="宋体" w:cs="宋体"/>
          <w:b/>
          <w:bCs/>
          <w:sz w:val="24"/>
          <w:szCs w:val="24"/>
        </w:rPr>
      </w:pPr>
    </w:p>
    <w:p w14:paraId="2DA6DFE5">
      <w:pPr>
        <w:spacing w:line="360" w:lineRule="auto"/>
        <w:rPr>
          <w:rFonts w:ascii="宋体" w:hAnsi="宋体" w:eastAsia="宋体" w:cs="宋体"/>
          <w:b/>
          <w:bCs/>
          <w:sz w:val="24"/>
          <w:szCs w:val="24"/>
        </w:rPr>
      </w:pPr>
      <w:r>
        <w:rPr>
          <w:rFonts w:hint="eastAsia" w:ascii="宋体" w:hAnsi="宋体" w:eastAsia="宋体" w:cs="宋体"/>
          <w:b/>
          <w:bCs/>
          <w:sz w:val="24"/>
          <w:szCs w:val="24"/>
        </w:rPr>
        <w:t xml:space="preserve">                               </w:t>
      </w:r>
    </w:p>
    <w:p w14:paraId="36A6EE01">
      <w:pPr>
        <w:spacing w:line="360" w:lineRule="auto"/>
        <w:rPr>
          <w:rFonts w:ascii="宋体" w:hAnsi="宋体" w:eastAsia="宋体" w:cs="宋体"/>
          <w:b/>
          <w:bCs/>
          <w:sz w:val="24"/>
          <w:szCs w:val="24"/>
        </w:rPr>
      </w:pPr>
    </w:p>
    <w:p w14:paraId="7D29EAB1">
      <w:pPr>
        <w:rPr>
          <w:rFonts w:hint="default"/>
          <w:lang w:val="en-US"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D1D427">
    <w:pPr>
      <w:pStyle w:val="8"/>
    </w:pPr>
  </w:p>
  <w:p w14:paraId="01B46785">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2A2C54"/>
    <w:multiLevelType w:val="singleLevel"/>
    <w:tmpl w:val="F02A2C5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I4YTM5YjgyMzQwNWQ3YjdkZGEyZjE3MDUzMzhiZTAifQ=="/>
  </w:docVars>
  <w:rsids>
    <w:rsidRoot w:val="005F20ED"/>
    <w:rsid w:val="00016F27"/>
    <w:rsid w:val="00037E8C"/>
    <w:rsid w:val="00040007"/>
    <w:rsid w:val="000874EA"/>
    <w:rsid w:val="000A667D"/>
    <w:rsid w:val="000C6EF4"/>
    <w:rsid w:val="000D11AF"/>
    <w:rsid w:val="00146A5D"/>
    <w:rsid w:val="00192E8A"/>
    <w:rsid w:val="00366630"/>
    <w:rsid w:val="003B667D"/>
    <w:rsid w:val="003C0FB6"/>
    <w:rsid w:val="003D641C"/>
    <w:rsid w:val="00410DEA"/>
    <w:rsid w:val="0043796D"/>
    <w:rsid w:val="00437C6F"/>
    <w:rsid w:val="004737F8"/>
    <w:rsid w:val="004A06FE"/>
    <w:rsid w:val="005153BB"/>
    <w:rsid w:val="005F20ED"/>
    <w:rsid w:val="006956D2"/>
    <w:rsid w:val="006D70C3"/>
    <w:rsid w:val="007248FC"/>
    <w:rsid w:val="00732901"/>
    <w:rsid w:val="00734D15"/>
    <w:rsid w:val="007425ED"/>
    <w:rsid w:val="00745265"/>
    <w:rsid w:val="007573E7"/>
    <w:rsid w:val="007E3CF1"/>
    <w:rsid w:val="007F23C4"/>
    <w:rsid w:val="007F287D"/>
    <w:rsid w:val="007F331B"/>
    <w:rsid w:val="00866C5E"/>
    <w:rsid w:val="008D2A50"/>
    <w:rsid w:val="008F3229"/>
    <w:rsid w:val="00907DF0"/>
    <w:rsid w:val="00957FC0"/>
    <w:rsid w:val="009B1B50"/>
    <w:rsid w:val="00A12947"/>
    <w:rsid w:val="00A8056C"/>
    <w:rsid w:val="00A85F1E"/>
    <w:rsid w:val="00AA0A4A"/>
    <w:rsid w:val="00AD7155"/>
    <w:rsid w:val="00AF0ED4"/>
    <w:rsid w:val="00B043DA"/>
    <w:rsid w:val="00B139AC"/>
    <w:rsid w:val="00BB191F"/>
    <w:rsid w:val="00C04C9C"/>
    <w:rsid w:val="00C91858"/>
    <w:rsid w:val="00CC55B5"/>
    <w:rsid w:val="00D646C3"/>
    <w:rsid w:val="00DB1274"/>
    <w:rsid w:val="00DF59AA"/>
    <w:rsid w:val="00E0579E"/>
    <w:rsid w:val="00E13B33"/>
    <w:rsid w:val="00E246F7"/>
    <w:rsid w:val="00E73892"/>
    <w:rsid w:val="00EA75D7"/>
    <w:rsid w:val="00EE24A4"/>
    <w:rsid w:val="00F862DA"/>
    <w:rsid w:val="00FC1F2D"/>
    <w:rsid w:val="00FC454A"/>
    <w:rsid w:val="00FE32CF"/>
    <w:rsid w:val="01741A14"/>
    <w:rsid w:val="02733936"/>
    <w:rsid w:val="03C54874"/>
    <w:rsid w:val="041F679F"/>
    <w:rsid w:val="050C51CC"/>
    <w:rsid w:val="0557679A"/>
    <w:rsid w:val="05706DB6"/>
    <w:rsid w:val="05AA2098"/>
    <w:rsid w:val="063E0A32"/>
    <w:rsid w:val="06D373DE"/>
    <w:rsid w:val="06E94E42"/>
    <w:rsid w:val="07AC321F"/>
    <w:rsid w:val="07BB6D3F"/>
    <w:rsid w:val="07D67A02"/>
    <w:rsid w:val="07DB1186"/>
    <w:rsid w:val="08086333"/>
    <w:rsid w:val="08B246E9"/>
    <w:rsid w:val="09965B63"/>
    <w:rsid w:val="09C676BC"/>
    <w:rsid w:val="0A132C02"/>
    <w:rsid w:val="0A20096D"/>
    <w:rsid w:val="0A870BFA"/>
    <w:rsid w:val="0B00275A"/>
    <w:rsid w:val="0B1A38FB"/>
    <w:rsid w:val="0B204DCB"/>
    <w:rsid w:val="0B4B2E71"/>
    <w:rsid w:val="0BE65DF4"/>
    <w:rsid w:val="0BFD70A2"/>
    <w:rsid w:val="0C764A71"/>
    <w:rsid w:val="0C8C6FBE"/>
    <w:rsid w:val="0C8F023A"/>
    <w:rsid w:val="0CC27DEB"/>
    <w:rsid w:val="0CCA04E4"/>
    <w:rsid w:val="0CD30126"/>
    <w:rsid w:val="0D474670"/>
    <w:rsid w:val="0D4F354A"/>
    <w:rsid w:val="0DE3158E"/>
    <w:rsid w:val="0EC64C36"/>
    <w:rsid w:val="0ECF73C6"/>
    <w:rsid w:val="0F0767AD"/>
    <w:rsid w:val="0FCA7B83"/>
    <w:rsid w:val="10D206F5"/>
    <w:rsid w:val="12353631"/>
    <w:rsid w:val="12394ECF"/>
    <w:rsid w:val="12A12A75"/>
    <w:rsid w:val="13207E3D"/>
    <w:rsid w:val="13390EFF"/>
    <w:rsid w:val="13875409"/>
    <w:rsid w:val="14720D1B"/>
    <w:rsid w:val="14C763C2"/>
    <w:rsid w:val="155B0E57"/>
    <w:rsid w:val="15EB4733"/>
    <w:rsid w:val="16284DFE"/>
    <w:rsid w:val="163D0467"/>
    <w:rsid w:val="16436839"/>
    <w:rsid w:val="16490B86"/>
    <w:rsid w:val="168E1562"/>
    <w:rsid w:val="16CC7232"/>
    <w:rsid w:val="174D6D27"/>
    <w:rsid w:val="18363C5F"/>
    <w:rsid w:val="18BF5A03"/>
    <w:rsid w:val="1938513A"/>
    <w:rsid w:val="19E57470"/>
    <w:rsid w:val="19E65E70"/>
    <w:rsid w:val="19E73463"/>
    <w:rsid w:val="19F578D1"/>
    <w:rsid w:val="1A167F54"/>
    <w:rsid w:val="1A4217D3"/>
    <w:rsid w:val="1AAE3450"/>
    <w:rsid w:val="1B3C333B"/>
    <w:rsid w:val="1B4E010B"/>
    <w:rsid w:val="1B593EEC"/>
    <w:rsid w:val="1B7B1CF8"/>
    <w:rsid w:val="1B9D672E"/>
    <w:rsid w:val="1C575F09"/>
    <w:rsid w:val="1CD04682"/>
    <w:rsid w:val="1CD427EF"/>
    <w:rsid w:val="1CE56624"/>
    <w:rsid w:val="1D5D30A1"/>
    <w:rsid w:val="1DD27F86"/>
    <w:rsid w:val="1E0B1AF9"/>
    <w:rsid w:val="1EBA13A9"/>
    <w:rsid w:val="1F5F1CED"/>
    <w:rsid w:val="20124FB2"/>
    <w:rsid w:val="20126752"/>
    <w:rsid w:val="209A409D"/>
    <w:rsid w:val="20DA787E"/>
    <w:rsid w:val="20DF7E61"/>
    <w:rsid w:val="211A411E"/>
    <w:rsid w:val="213B5F00"/>
    <w:rsid w:val="21A846F5"/>
    <w:rsid w:val="21CB249E"/>
    <w:rsid w:val="21CB31C8"/>
    <w:rsid w:val="21D273E5"/>
    <w:rsid w:val="22356992"/>
    <w:rsid w:val="22A66A8F"/>
    <w:rsid w:val="24A8616E"/>
    <w:rsid w:val="253619BA"/>
    <w:rsid w:val="25D2282C"/>
    <w:rsid w:val="266100F9"/>
    <w:rsid w:val="273B6B9C"/>
    <w:rsid w:val="278A5992"/>
    <w:rsid w:val="283B4F72"/>
    <w:rsid w:val="283F5294"/>
    <w:rsid w:val="285C6759"/>
    <w:rsid w:val="288C7390"/>
    <w:rsid w:val="28F042F6"/>
    <w:rsid w:val="290A5685"/>
    <w:rsid w:val="294F79B9"/>
    <w:rsid w:val="29B82726"/>
    <w:rsid w:val="29C5333B"/>
    <w:rsid w:val="2A955ABD"/>
    <w:rsid w:val="2AA65345"/>
    <w:rsid w:val="2B287437"/>
    <w:rsid w:val="2C586430"/>
    <w:rsid w:val="2C912076"/>
    <w:rsid w:val="2C9A450B"/>
    <w:rsid w:val="2CA12DCD"/>
    <w:rsid w:val="2D0312D3"/>
    <w:rsid w:val="2F963509"/>
    <w:rsid w:val="302C4590"/>
    <w:rsid w:val="306F434F"/>
    <w:rsid w:val="30A1055E"/>
    <w:rsid w:val="32083EFC"/>
    <w:rsid w:val="322272D6"/>
    <w:rsid w:val="32270449"/>
    <w:rsid w:val="323D5EBE"/>
    <w:rsid w:val="32715F3B"/>
    <w:rsid w:val="32BB240F"/>
    <w:rsid w:val="3351112B"/>
    <w:rsid w:val="33D96305"/>
    <w:rsid w:val="33E829CE"/>
    <w:rsid w:val="34BD67EB"/>
    <w:rsid w:val="35EF44A1"/>
    <w:rsid w:val="36611E1B"/>
    <w:rsid w:val="36706D49"/>
    <w:rsid w:val="36BE1FC9"/>
    <w:rsid w:val="36E87453"/>
    <w:rsid w:val="37676DF6"/>
    <w:rsid w:val="37723797"/>
    <w:rsid w:val="37EB3CC7"/>
    <w:rsid w:val="382F655C"/>
    <w:rsid w:val="38C66C59"/>
    <w:rsid w:val="3A44231A"/>
    <w:rsid w:val="3A7B2E48"/>
    <w:rsid w:val="3B2F65C0"/>
    <w:rsid w:val="3C2123AD"/>
    <w:rsid w:val="3C3E266A"/>
    <w:rsid w:val="3C9361D9"/>
    <w:rsid w:val="3CC311DF"/>
    <w:rsid w:val="3D372031"/>
    <w:rsid w:val="3D8F1598"/>
    <w:rsid w:val="3DF807A4"/>
    <w:rsid w:val="3E194CE3"/>
    <w:rsid w:val="3E916078"/>
    <w:rsid w:val="3EEA117C"/>
    <w:rsid w:val="3FB62E0C"/>
    <w:rsid w:val="3FDF76A7"/>
    <w:rsid w:val="40073668"/>
    <w:rsid w:val="408814A0"/>
    <w:rsid w:val="40971A00"/>
    <w:rsid w:val="40CA7159"/>
    <w:rsid w:val="41D41C6F"/>
    <w:rsid w:val="41F145CF"/>
    <w:rsid w:val="42723962"/>
    <w:rsid w:val="430040BF"/>
    <w:rsid w:val="436F1530"/>
    <w:rsid w:val="44801452"/>
    <w:rsid w:val="449B654A"/>
    <w:rsid w:val="44B6296D"/>
    <w:rsid w:val="45390767"/>
    <w:rsid w:val="454A1ADC"/>
    <w:rsid w:val="467B090B"/>
    <w:rsid w:val="46B71E44"/>
    <w:rsid w:val="46E62229"/>
    <w:rsid w:val="480D1AA5"/>
    <w:rsid w:val="481C49F5"/>
    <w:rsid w:val="483A49AA"/>
    <w:rsid w:val="488C32A4"/>
    <w:rsid w:val="499C7517"/>
    <w:rsid w:val="4A83134F"/>
    <w:rsid w:val="4B101897"/>
    <w:rsid w:val="4B4D680A"/>
    <w:rsid w:val="4B7F5343"/>
    <w:rsid w:val="4BDA60D4"/>
    <w:rsid w:val="4CA06E6A"/>
    <w:rsid w:val="4CAB12D1"/>
    <w:rsid w:val="4CAB1A20"/>
    <w:rsid w:val="4CAE1754"/>
    <w:rsid w:val="4DF176EF"/>
    <w:rsid w:val="4E6B1B7A"/>
    <w:rsid w:val="4EA34EA3"/>
    <w:rsid w:val="4EE11805"/>
    <w:rsid w:val="4EE554BC"/>
    <w:rsid w:val="4EE82556"/>
    <w:rsid w:val="4EE87AC3"/>
    <w:rsid w:val="4F0F42E7"/>
    <w:rsid w:val="505C586D"/>
    <w:rsid w:val="50DF136F"/>
    <w:rsid w:val="5128521C"/>
    <w:rsid w:val="51645798"/>
    <w:rsid w:val="51856AE2"/>
    <w:rsid w:val="51B15B29"/>
    <w:rsid w:val="52917701"/>
    <w:rsid w:val="538418AB"/>
    <w:rsid w:val="55841863"/>
    <w:rsid w:val="55AF05D2"/>
    <w:rsid w:val="55E4149B"/>
    <w:rsid w:val="55F14746"/>
    <w:rsid w:val="560E70A6"/>
    <w:rsid w:val="56413B72"/>
    <w:rsid w:val="568D6D72"/>
    <w:rsid w:val="569D4426"/>
    <w:rsid w:val="572136AE"/>
    <w:rsid w:val="578C4726"/>
    <w:rsid w:val="57EA05C8"/>
    <w:rsid w:val="582901C7"/>
    <w:rsid w:val="586A3A13"/>
    <w:rsid w:val="58752239"/>
    <w:rsid w:val="59693B08"/>
    <w:rsid w:val="59C24571"/>
    <w:rsid w:val="59CF6885"/>
    <w:rsid w:val="5A4B07FD"/>
    <w:rsid w:val="5A5809C5"/>
    <w:rsid w:val="5ADF1011"/>
    <w:rsid w:val="5B543FFE"/>
    <w:rsid w:val="5B597CE2"/>
    <w:rsid w:val="5C043425"/>
    <w:rsid w:val="5C4D177C"/>
    <w:rsid w:val="5CB718A1"/>
    <w:rsid w:val="5DD025B8"/>
    <w:rsid w:val="5DD25566"/>
    <w:rsid w:val="5E20418F"/>
    <w:rsid w:val="5EBA426F"/>
    <w:rsid w:val="5F0F007C"/>
    <w:rsid w:val="5F7F7267"/>
    <w:rsid w:val="5F84753C"/>
    <w:rsid w:val="5FA723E9"/>
    <w:rsid w:val="5FCC6E13"/>
    <w:rsid w:val="601C6864"/>
    <w:rsid w:val="624C7C85"/>
    <w:rsid w:val="62AF39BF"/>
    <w:rsid w:val="62DA2A58"/>
    <w:rsid w:val="630647F9"/>
    <w:rsid w:val="633E40B5"/>
    <w:rsid w:val="63DA0F0F"/>
    <w:rsid w:val="655553D6"/>
    <w:rsid w:val="667473F9"/>
    <w:rsid w:val="668407B5"/>
    <w:rsid w:val="67343D96"/>
    <w:rsid w:val="67A2429D"/>
    <w:rsid w:val="681842BB"/>
    <w:rsid w:val="68962B8B"/>
    <w:rsid w:val="68EB5DA0"/>
    <w:rsid w:val="69236EB5"/>
    <w:rsid w:val="69FD5093"/>
    <w:rsid w:val="6A152BF7"/>
    <w:rsid w:val="6AA3205B"/>
    <w:rsid w:val="6AB05F13"/>
    <w:rsid w:val="6ADF5B1A"/>
    <w:rsid w:val="6AEA5EDC"/>
    <w:rsid w:val="6AFA69D7"/>
    <w:rsid w:val="6BC95AF1"/>
    <w:rsid w:val="6C1A06BB"/>
    <w:rsid w:val="6DDE4FBC"/>
    <w:rsid w:val="6DE006D0"/>
    <w:rsid w:val="6DFF5B12"/>
    <w:rsid w:val="6E0C6169"/>
    <w:rsid w:val="6E9323E7"/>
    <w:rsid w:val="6EAB1807"/>
    <w:rsid w:val="6F2C4252"/>
    <w:rsid w:val="70500D2E"/>
    <w:rsid w:val="70A75A76"/>
    <w:rsid w:val="71193077"/>
    <w:rsid w:val="717E112C"/>
    <w:rsid w:val="717E7787"/>
    <w:rsid w:val="73160F31"/>
    <w:rsid w:val="731C6E4F"/>
    <w:rsid w:val="735008A6"/>
    <w:rsid w:val="735866C5"/>
    <w:rsid w:val="743A1838"/>
    <w:rsid w:val="744F0B5E"/>
    <w:rsid w:val="745E0948"/>
    <w:rsid w:val="747550C0"/>
    <w:rsid w:val="76A02122"/>
    <w:rsid w:val="76C9109B"/>
    <w:rsid w:val="76DB492B"/>
    <w:rsid w:val="77472E02"/>
    <w:rsid w:val="77882D05"/>
    <w:rsid w:val="778C16A8"/>
    <w:rsid w:val="77CB0E43"/>
    <w:rsid w:val="780659D7"/>
    <w:rsid w:val="781839A1"/>
    <w:rsid w:val="781A2940"/>
    <w:rsid w:val="7A127B9E"/>
    <w:rsid w:val="7A6332C2"/>
    <w:rsid w:val="7B705F89"/>
    <w:rsid w:val="7BC83C44"/>
    <w:rsid w:val="7CF90201"/>
    <w:rsid w:val="7D4B7F6E"/>
    <w:rsid w:val="7D4E3332"/>
    <w:rsid w:val="7D8E6B9B"/>
    <w:rsid w:val="7D902089"/>
    <w:rsid w:val="7E4C30F9"/>
    <w:rsid w:val="7E8E1AAB"/>
    <w:rsid w:val="7F216F17"/>
    <w:rsid w:val="7F6C2F0C"/>
    <w:rsid w:val="7F766CC6"/>
    <w:rsid w:val="7FC411AE"/>
    <w:rsid w:val="7FE467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adjustRightInd w:val="0"/>
      <w:spacing w:line="360" w:lineRule="auto"/>
      <w:jc w:val="center"/>
      <w:textAlignment w:val="baseline"/>
      <w:outlineLvl w:val="0"/>
    </w:pPr>
    <w:rPr>
      <w:rFonts w:ascii="宋体"/>
      <w:b/>
      <w:kern w:val="44"/>
      <w:sz w:val="32"/>
      <w:szCs w:val="20"/>
    </w:rPr>
  </w:style>
  <w:style w:type="paragraph" w:styleId="3">
    <w:name w:val="heading 2"/>
    <w:basedOn w:val="1"/>
    <w:next w:val="1"/>
    <w:link w:val="18"/>
    <w:qFormat/>
    <w:uiPriority w:val="0"/>
    <w:pPr>
      <w:keepNext/>
      <w:keepLines/>
      <w:adjustRightInd w:val="0"/>
      <w:spacing w:before="260" w:beforeLines="0" w:after="260" w:afterLines="0" w:line="416" w:lineRule="atLeast"/>
      <w:jc w:val="left"/>
      <w:textAlignment w:val="baseline"/>
      <w:outlineLvl w:val="1"/>
    </w:pPr>
    <w:rPr>
      <w:rFonts w:ascii="宋体" w:hAnsi="Arial"/>
      <w:b/>
      <w:kern w:val="0"/>
      <w:sz w:val="28"/>
      <w:szCs w:val="20"/>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toa heading"/>
    <w:basedOn w:val="1"/>
    <w:next w:val="1"/>
    <w:unhideWhenUsed/>
    <w:qFormat/>
    <w:uiPriority w:val="0"/>
    <w:pPr>
      <w:spacing w:before="120"/>
    </w:pPr>
    <w:rPr>
      <w:rFonts w:ascii="Arial" w:hAnsi="Arial" w:cs="Arial"/>
    </w:rPr>
  </w:style>
  <w:style w:type="paragraph" w:styleId="5">
    <w:name w:val="Body Text"/>
    <w:basedOn w:val="1"/>
    <w:unhideWhenUsed/>
    <w:qFormat/>
    <w:uiPriority w:val="99"/>
    <w:pPr>
      <w:spacing w:after="120"/>
    </w:pPr>
  </w:style>
  <w:style w:type="paragraph" w:styleId="6">
    <w:name w:val="Body Text Indent"/>
    <w:basedOn w:val="1"/>
    <w:qFormat/>
    <w:uiPriority w:val="0"/>
    <w:pPr>
      <w:spacing w:after="120"/>
      <w:ind w:left="420" w:leftChars="200"/>
    </w:pPr>
  </w:style>
  <w:style w:type="paragraph" w:styleId="7">
    <w:name w:val="Balloon Text"/>
    <w:basedOn w:val="1"/>
    <w:link w:val="15"/>
    <w:semiHidden/>
    <w:unhideWhenUsed/>
    <w:qFormat/>
    <w:uiPriority w:val="99"/>
    <w:rPr>
      <w:sz w:val="18"/>
      <w:szCs w:val="18"/>
    </w:rPr>
  </w:style>
  <w:style w:type="paragraph" w:styleId="8">
    <w:name w:val="footer"/>
    <w:basedOn w:val="1"/>
    <w:next w:val="1"/>
    <w:link w:val="14"/>
    <w:unhideWhenUsed/>
    <w:qFormat/>
    <w:uiPriority w:val="99"/>
    <w:pPr>
      <w:tabs>
        <w:tab w:val="center" w:pos="4153"/>
        <w:tab w:val="right" w:pos="8306"/>
      </w:tabs>
      <w:snapToGrid w:val="0"/>
      <w:jc w:val="left"/>
    </w:pPr>
    <w:rPr>
      <w:sz w:val="18"/>
      <w:szCs w:val="18"/>
    </w:rPr>
  </w:style>
  <w:style w:type="paragraph" w:styleId="9">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Body Text First Indent 2"/>
    <w:basedOn w:val="6"/>
    <w:qFormat/>
    <w:uiPriority w:val="0"/>
    <w:pPr>
      <w:ind w:firstLine="420" w:firstLineChars="200"/>
    </w:pPr>
  </w:style>
  <w:style w:type="character" w:customStyle="1" w:styleId="13">
    <w:name w:val="页眉 Char"/>
    <w:basedOn w:val="12"/>
    <w:link w:val="9"/>
    <w:qFormat/>
    <w:uiPriority w:val="99"/>
    <w:rPr>
      <w:sz w:val="18"/>
      <w:szCs w:val="18"/>
    </w:rPr>
  </w:style>
  <w:style w:type="character" w:customStyle="1" w:styleId="14">
    <w:name w:val="页脚 Char"/>
    <w:basedOn w:val="12"/>
    <w:link w:val="8"/>
    <w:qFormat/>
    <w:uiPriority w:val="99"/>
    <w:rPr>
      <w:sz w:val="18"/>
      <w:szCs w:val="18"/>
    </w:rPr>
  </w:style>
  <w:style w:type="character" w:customStyle="1" w:styleId="15">
    <w:name w:val="批注框文本 Char"/>
    <w:basedOn w:val="12"/>
    <w:link w:val="7"/>
    <w:semiHidden/>
    <w:qFormat/>
    <w:uiPriority w:val="99"/>
    <w:rPr>
      <w:sz w:val="18"/>
      <w:szCs w:val="18"/>
    </w:rPr>
  </w:style>
  <w:style w:type="paragraph" w:styleId="16">
    <w:name w:val="List Paragraph"/>
    <w:basedOn w:val="1"/>
    <w:qFormat/>
    <w:uiPriority w:val="34"/>
    <w:pPr>
      <w:spacing w:line="360" w:lineRule="auto"/>
      <w:ind w:firstLine="420" w:firstLineChars="200"/>
      <w:jc w:val="left"/>
    </w:pPr>
    <w:rPr>
      <w:rFonts w:ascii="宋体" w:hAnsi="宋体" w:cs="Times New Roman"/>
      <w:sz w:val="24"/>
      <w:szCs w:val="24"/>
    </w:rPr>
  </w:style>
  <w:style w:type="paragraph" w:customStyle="1" w:styleId="17">
    <w:name w:val="0"/>
    <w:basedOn w:val="1"/>
    <w:qFormat/>
    <w:uiPriority w:val="99"/>
    <w:pPr>
      <w:widowControl/>
    </w:pPr>
    <w:rPr>
      <w:kern w:val="0"/>
      <w:szCs w:val="20"/>
    </w:rPr>
  </w:style>
  <w:style w:type="character" w:customStyle="1" w:styleId="18">
    <w:name w:val="标题 2 Char"/>
    <w:link w:val="3"/>
    <w:qFormat/>
    <w:uiPriority w:val="0"/>
    <w:rPr>
      <w:rFonts w:ascii="宋体" w:hAnsi="Arial"/>
      <w:b/>
      <w:kern w:val="0"/>
      <w:sz w:val="28"/>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3149</Words>
  <Characters>3634</Characters>
  <Lines>76</Lines>
  <Paragraphs>21</Paragraphs>
  <TotalTime>0</TotalTime>
  <ScaleCrop>false</ScaleCrop>
  <LinksUpToDate>false</LinksUpToDate>
  <CharactersWithSpaces>4039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2024-02-29T07:31:00Z</dcterms:created>
  <dc:creator>Microsoft</dc:creator>
  <cp:lastModifiedBy>WPS_1646727548</cp:lastModifiedBy>
  <cp:lastPrinted>2026-06-15T04:10:00Z</cp:lastPrinted>
  <dcterms:modified xsi:type="dcterms:W3CDTF">2026-07-07T08:06:32Z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294DF60704274E8C8496012150810DB4_13</vt:lpwstr>
  </property>
  <property fmtid="{D5CDD505-2E9C-101B-9397-08002B2CF9AE}" pid="4" name="KSOTemplateDocerSaveRecord">
    <vt:lpwstr>eyJoZGlkIjoiNGU4MGEzOTIwMDY0MDgwZDViOTBlYWNkMTZjYmMzMGYiLCJ1c2VySWQiOiIxMzM4MjA5MTk4In0=</vt:lpwstr>
  </property>
</Properties>
</file>