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8AB24F">
      <w:pPr>
        <w:keepNext/>
        <w:keepLines/>
        <w:pageBreakBefore w:val="0"/>
        <w:kinsoku/>
        <w:wordWrap/>
        <w:overflowPunct/>
        <w:topLinePunct w:val="0"/>
        <w:autoSpaceDE w:val="0"/>
        <w:autoSpaceDN w:val="0"/>
        <w:bidi w:val="0"/>
        <w:adjustRightInd/>
        <w:snapToGrid/>
        <w:spacing w:line="360" w:lineRule="auto"/>
        <w:jc w:val="center"/>
        <w:outlineLvl w:val="0"/>
        <w:rPr>
          <w:rFonts w:hint="eastAsia" w:ascii="宋体" w:hAnsi="宋体" w:eastAsia="宋体" w:cs="宋体"/>
          <w:b/>
          <w:color w:val="auto"/>
          <w:kern w:val="0"/>
          <w:sz w:val="28"/>
          <w:szCs w:val="28"/>
          <w:lang w:val="en-US" w:eastAsia="zh-CN"/>
        </w:rPr>
      </w:pPr>
      <w:r>
        <w:rPr>
          <w:rFonts w:hint="eastAsia" w:ascii="宋体" w:hAnsi="宋体" w:eastAsia="宋体" w:cs="宋体"/>
          <w:b/>
          <w:color w:val="auto"/>
          <w:kern w:val="0"/>
          <w:sz w:val="28"/>
          <w:szCs w:val="28"/>
          <w:lang w:val="en-US" w:eastAsia="zh-CN"/>
        </w:rPr>
        <w:t>大水头煤矿液压盘式制动器</w:t>
      </w:r>
      <w:r>
        <w:rPr>
          <w:rFonts w:hint="eastAsia" w:ascii="宋体" w:hAnsi="宋体" w:eastAsia="宋体" w:cs="宋体"/>
          <w:b/>
          <w:color w:val="auto"/>
          <w:kern w:val="0"/>
          <w:sz w:val="28"/>
          <w:szCs w:val="28"/>
        </w:rPr>
        <w:t>技术</w:t>
      </w:r>
      <w:r>
        <w:rPr>
          <w:rFonts w:hint="eastAsia" w:ascii="宋体" w:hAnsi="宋体" w:eastAsia="宋体" w:cs="宋体"/>
          <w:b/>
          <w:color w:val="auto"/>
          <w:kern w:val="0"/>
          <w:sz w:val="28"/>
          <w:szCs w:val="28"/>
          <w:lang w:val="en-US" w:eastAsia="zh-CN"/>
        </w:rPr>
        <w:t>参数</w:t>
      </w:r>
    </w:p>
    <w:p w14:paraId="337D8033">
      <w:pPr>
        <w:keepNext w:val="0"/>
        <w:keepLines w:val="0"/>
        <w:pageBreakBefore w:val="0"/>
        <w:kinsoku/>
        <w:wordWrap/>
        <w:overflowPunct/>
        <w:topLinePunct w:val="0"/>
        <w:autoSpaceDE/>
        <w:autoSpaceDN/>
        <w:bidi w:val="0"/>
        <w:adjustRightInd/>
        <w:snapToGrid/>
        <w:spacing w:line="500" w:lineRule="exact"/>
        <w:rPr>
          <w:rFonts w:hint="default" w:ascii="宋体" w:hAnsi="宋体" w:eastAsia="宋体" w:cs="宋体"/>
          <w:b w:val="0"/>
          <w:bCs/>
          <w:color w:val="auto"/>
          <w:sz w:val="24"/>
          <w:szCs w:val="24"/>
          <w:lang w:val="en-US" w:eastAsia="zh-CN"/>
        </w:rPr>
      </w:pPr>
      <w:r>
        <w:rPr>
          <w:rFonts w:hint="eastAsia" w:ascii="宋体" w:hAnsi="宋体" w:eastAsia="宋体" w:cs="宋体"/>
          <w:b/>
          <w:color w:val="auto"/>
          <w:sz w:val="24"/>
          <w:szCs w:val="24"/>
          <w:lang w:val="en-US" w:eastAsia="zh-CN"/>
        </w:rPr>
        <w:t>一、</w:t>
      </w:r>
      <w:r>
        <w:rPr>
          <w:rFonts w:hint="eastAsia" w:ascii="宋体" w:hAnsi="宋体" w:eastAsia="宋体" w:cs="宋体"/>
          <w:b/>
          <w:color w:val="auto"/>
          <w:sz w:val="24"/>
          <w:szCs w:val="24"/>
        </w:rPr>
        <w:t>设备名称：</w:t>
      </w:r>
      <w:r>
        <w:rPr>
          <w:rFonts w:hint="eastAsia" w:ascii="宋体" w:hAnsi="宋体" w:eastAsia="宋体" w:cs="宋体"/>
          <w:b/>
          <w:color w:val="auto"/>
          <w:sz w:val="24"/>
          <w:szCs w:val="24"/>
          <w:lang w:val="en-US" w:eastAsia="zh-CN"/>
        </w:rPr>
        <w:t>液压盘式制动器</w:t>
      </w:r>
    </w:p>
    <w:p w14:paraId="76625E4A">
      <w:pPr>
        <w:keepNext w:val="0"/>
        <w:keepLines w:val="0"/>
        <w:pageBreakBefore w:val="0"/>
        <w:kinsoku/>
        <w:wordWrap/>
        <w:overflowPunct/>
        <w:topLinePunct w:val="0"/>
        <w:autoSpaceDE/>
        <w:autoSpaceDN/>
        <w:bidi w:val="0"/>
        <w:adjustRightInd/>
        <w:snapToGrid/>
        <w:spacing w:line="360" w:lineRule="auto"/>
        <w:rPr>
          <w:rFonts w:hint="eastAsia"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二、</w:t>
      </w:r>
      <w:r>
        <w:rPr>
          <w:rFonts w:hint="eastAsia" w:ascii="宋体" w:hAnsi="宋体" w:eastAsia="宋体" w:cs="宋体"/>
          <w:b/>
          <w:color w:val="auto"/>
          <w:sz w:val="24"/>
          <w:szCs w:val="24"/>
        </w:rPr>
        <w:t>购置数量：</w:t>
      </w:r>
      <w:r>
        <w:rPr>
          <w:rFonts w:hint="eastAsia" w:ascii="宋体" w:hAnsi="宋体" w:eastAsia="宋体" w:cs="宋体"/>
          <w:b/>
          <w:color w:val="auto"/>
          <w:sz w:val="24"/>
          <w:szCs w:val="24"/>
          <w:lang w:val="en-US" w:eastAsia="zh-CN"/>
        </w:rPr>
        <w:t>1套</w:t>
      </w:r>
      <w:r>
        <w:rPr>
          <w:rFonts w:hint="eastAsia" w:ascii="宋体" w:hAnsi="宋体" w:eastAsia="宋体" w:cs="宋体"/>
          <w:b w:val="0"/>
          <w:bCs/>
          <w:color w:val="auto"/>
          <w:sz w:val="24"/>
          <w:szCs w:val="24"/>
          <w:lang w:val="en-US" w:eastAsia="zh-CN"/>
        </w:rPr>
        <w:t xml:space="preserve"> </w:t>
      </w:r>
      <w:r>
        <w:rPr>
          <w:rFonts w:hint="eastAsia" w:ascii="宋体" w:hAnsi="宋体" w:eastAsia="宋体" w:cs="宋体"/>
          <w:b w:val="0"/>
          <w:bCs/>
          <w:color w:val="auto"/>
          <w:sz w:val="24"/>
          <w:szCs w:val="24"/>
          <w:lang w:val="en-US" w:eastAsia="zh-CN"/>
        </w:rPr>
        <w:br w:type="textWrapping"/>
      </w:r>
      <w:r>
        <w:rPr>
          <w:rFonts w:hint="eastAsia" w:ascii="宋体" w:hAnsi="宋体" w:eastAsia="宋体" w:cs="宋体"/>
          <w:b/>
          <w:color w:val="auto"/>
          <w:sz w:val="24"/>
          <w:szCs w:val="24"/>
          <w:lang w:val="en-US" w:eastAsia="zh-CN"/>
        </w:rPr>
        <w:t>三、设备型号</w:t>
      </w:r>
      <w:r>
        <w:rPr>
          <w:rFonts w:hint="eastAsia" w:ascii="宋体" w:hAnsi="宋体" w:eastAsia="宋体" w:cs="宋体"/>
          <w:b/>
          <w:color w:val="auto"/>
          <w:sz w:val="24"/>
          <w:szCs w:val="24"/>
        </w:rPr>
        <w:t>：</w:t>
      </w:r>
      <w:r>
        <w:rPr>
          <w:rFonts w:hint="eastAsia" w:ascii="宋体" w:hAnsi="宋体" w:eastAsia="宋体" w:cs="宋体"/>
          <w:b/>
          <w:color w:val="auto"/>
          <w:sz w:val="24"/>
          <w:szCs w:val="24"/>
          <w:lang w:val="en-US" w:eastAsia="zh-CN"/>
        </w:rPr>
        <w:t>KPZ1400</w:t>
      </w:r>
    </w:p>
    <w:p w14:paraId="1B9ACB53">
      <w:pPr>
        <w:keepNext w:val="0"/>
        <w:keepLines w:val="0"/>
        <w:pageBreakBefore w:val="0"/>
        <w:kinsoku/>
        <w:wordWrap/>
        <w:overflowPunct/>
        <w:topLinePunct w:val="0"/>
        <w:autoSpaceDE/>
        <w:autoSpaceDN/>
        <w:bidi w:val="0"/>
        <w:adjustRightInd/>
        <w:snapToGrid/>
        <w:spacing w:line="240" w:lineRule="auto"/>
        <w:rPr>
          <w:rFonts w:hint="eastAsia" w:ascii="宋体" w:hAnsi="宋体" w:eastAsia="宋体" w:cs="宋体"/>
          <w:b/>
          <w:color w:val="auto"/>
          <w:sz w:val="24"/>
          <w:szCs w:val="24"/>
        </w:rPr>
      </w:pPr>
      <w:r>
        <w:rPr>
          <w:rFonts w:hint="eastAsia" w:ascii="宋体" w:hAnsi="宋体" w:eastAsia="宋体" w:cs="宋体"/>
          <w:b/>
          <w:color w:val="auto"/>
          <w:sz w:val="24"/>
          <w:szCs w:val="24"/>
          <w:lang w:val="en-US" w:eastAsia="zh-CN"/>
        </w:rPr>
        <w:t>四</w:t>
      </w:r>
      <w:r>
        <w:rPr>
          <w:rFonts w:hint="eastAsia" w:ascii="宋体" w:hAnsi="宋体" w:eastAsia="宋体" w:cs="宋体"/>
          <w:b/>
          <w:color w:val="auto"/>
          <w:sz w:val="24"/>
          <w:szCs w:val="24"/>
        </w:rPr>
        <w:t>、</w:t>
      </w:r>
      <w:r>
        <w:rPr>
          <w:rFonts w:hint="eastAsia" w:ascii="宋体" w:hAnsi="宋体" w:eastAsia="宋体" w:cs="宋体"/>
          <w:b/>
          <w:color w:val="auto"/>
          <w:sz w:val="24"/>
          <w:szCs w:val="24"/>
          <w:lang w:val="en-US" w:eastAsia="zh-CN"/>
        </w:rPr>
        <w:t>液压盘式制动器技术参数及技术要求</w:t>
      </w:r>
      <w:r>
        <w:rPr>
          <w:rFonts w:hint="eastAsia" w:ascii="宋体" w:hAnsi="宋体" w:eastAsia="宋体" w:cs="宋体"/>
          <w:b/>
          <w:color w:val="auto"/>
          <w:sz w:val="24"/>
          <w:szCs w:val="24"/>
        </w:rPr>
        <w:t>：</w:t>
      </w:r>
    </w:p>
    <w:p w14:paraId="7AFD1F21">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1、制动器为盘式液压制动器，与永磁滚筒配套使用，制动盘安装在永磁滚筒筒体两侧。</w:t>
      </w:r>
    </w:p>
    <w:p w14:paraId="463F89DA">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2、能满足ZBD93008-1990煤矿井下用带式输送机技术条件MT912-2002《煤矿用下运带式输送机制动器技术条件》，符合2025年版《煤矿安全规程》中相关规定。</w:t>
      </w:r>
    </w:p>
    <w:p w14:paraId="02BEBB3B">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3、能有效地防止输送机超速，超速时可实施工作制动或安全制动。</w:t>
      </w:r>
    </w:p>
    <w:p w14:paraId="52B9FF6D">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4、实现正常停车、故障停车、突然失电停车功能。与电控系统配套，使输送机在规定的减速度（0.1-0.3m/s2）下停车。</w:t>
      </w:r>
    </w:p>
    <w:p w14:paraId="66906E93">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5、电控系统配置手动功能，方便了设备调试，并确保输送机在电控箱自身故障时仍能起车，满足生产急需。</w:t>
      </w:r>
    </w:p>
    <w:p w14:paraId="0AE9E2FF">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5、液压站系统实现手动、自动可靠运转，确保系统在安装调试、检修、出现故障时安全可靠运行。</w:t>
      </w:r>
    </w:p>
    <w:p w14:paraId="41B16FF3">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7、永磁滚筒功率：P=315kW ,永磁滚筒直径：D=1000 mm ,带宽：B= 1200 mm, 制动闸中心高 590mm, 制动盘外径大小限制 1400 mm，总制动力矩  70 KN.m（摩擦片与制动盘间隙为1-1.5mm）。</w:t>
      </w:r>
    </w:p>
    <w:p w14:paraId="0A0DDBC2">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8、工作环境温度-10℃-+40°C；</w:t>
      </w:r>
    </w:p>
    <w:p w14:paraId="3C26E3B0">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9、使用环境    煤矿井下高瓦斯矿井；</w:t>
      </w:r>
    </w:p>
    <w:p w14:paraId="23EA12F4">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10、电机供电电压（低压）： 660/1140 V,电控箱电压 1140 V；</w:t>
      </w:r>
    </w:p>
    <w:p w14:paraId="33002D32">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11、制动器配油管40米；</w:t>
      </w:r>
    </w:p>
    <w:p w14:paraId="1151E13A">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12、液压控制系统长时间工作油温不超过70℃；</w:t>
      </w:r>
    </w:p>
    <w:p w14:paraId="5A7BBE9F">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13、可以根据现场要求调节制动力矩大小；</w:t>
      </w:r>
    </w:p>
    <w:p w14:paraId="3E2497FA">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14、整机具有良好的密封性能（无渗漏油现象）；</w:t>
      </w:r>
    </w:p>
    <w:p w14:paraId="1F6C329A">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15、电控箱信号：</w:t>
      </w:r>
    </w:p>
    <w:p w14:paraId="171BBB52">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输入信号：（1）开闸/施闸指令，闭合表示开闸，断开表施闸制动。 </w:t>
      </w:r>
    </w:p>
    <w:p w14:paraId="7AB391EF">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输出信号：（1）闸开信号，闭合表示闸已打开</w:t>
      </w:r>
    </w:p>
    <w:p w14:paraId="17DD8623">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（2）故障信号，闭合表示有故障。</w:t>
      </w:r>
    </w:p>
    <w:p w14:paraId="5711DDD7">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以上信号均为开关量无源接点。</w:t>
      </w:r>
    </w:p>
    <w:p w14:paraId="7A69F293">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16. 制动器控制器可无条件介入矿方集控设备（以太网或RS485接口）。</w:t>
      </w:r>
    </w:p>
    <w:p w14:paraId="2E8F915F">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五、供货范围：</w:t>
      </w:r>
    </w:p>
    <w:tbl>
      <w:tblPr>
        <w:tblStyle w:val="11"/>
        <w:tblW w:w="89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1"/>
        <w:gridCol w:w="1858"/>
        <w:gridCol w:w="2374"/>
        <w:gridCol w:w="743"/>
        <w:gridCol w:w="3250"/>
      </w:tblGrid>
      <w:tr w14:paraId="67C12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1" w:type="dxa"/>
            <w:noWrap w:val="0"/>
            <w:vAlign w:val="center"/>
          </w:tcPr>
          <w:p w14:paraId="53B9E846">
            <w:pPr>
              <w:keepNext w:val="0"/>
              <w:keepLines w:val="0"/>
              <w:pageBreakBefore w:val="0"/>
              <w:widowControl/>
              <w:numPr>
                <w:ilvl w:val="0"/>
                <w:numId w:val="0"/>
              </w:numPr>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序号</w:t>
            </w:r>
          </w:p>
        </w:tc>
        <w:tc>
          <w:tcPr>
            <w:tcW w:w="1858" w:type="dxa"/>
            <w:noWrap w:val="0"/>
            <w:vAlign w:val="center"/>
          </w:tcPr>
          <w:p w14:paraId="08081B6A">
            <w:pPr>
              <w:keepNext w:val="0"/>
              <w:keepLines w:val="0"/>
              <w:pageBreakBefore w:val="0"/>
              <w:widowControl/>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名    称</w:t>
            </w:r>
          </w:p>
        </w:tc>
        <w:tc>
          <w:tcPr>
            <w:tcW w:w="2374" w:type="dxa"/>
            <w:noWrap w:val="0"/>
            <w:vAlign w:val="center"/>
          </w:tcPr>
          <w:p w14:paraId="696AEE1C">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型    号</w:t>
            </w:r>
          </w:p>
        </w:tc>
        <w:tc>
          <w:tcPr>
            <w:tcW w:w="743" w:type="dxa"/>
            <w:noWrap w:val="0"/>
            <w:vAlign w:val="center"/>
          </w:tcPr>
          <w:p w14:paraId="62C1EF8B">
            <w:pPr>
              <w:keepNext w:val="0"/>
              <w:keepLines w:val="0"/>
              <w:pageBreakBefore w:val="0"/>
              <w:widowControl/>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数量</w:t>
            </w:r>
          </w:p>
        </w:tc>
        <w:tc>
          <w:tcPr>
            <w:tcW w:w="3250" w:type="dxa"/>
            <w:noWrap w:val="0"/>
            <w:vAlign w:val="center"/>
          </w:tcPr>
          <w:p w14:paraId="4314C15A">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备注</w:t>
            </w:r>
          </w:p>
        </w:tc>
      </w:tr>
      <w:tr w14:paraId="6DA95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6" w:hRule="exact"/>
          <w:jc w:val="center"/>
        </w:trPr>
        <w:tc>
          <w:tcPr>
            <w:tcW w:w="771" w:type="dxa"/>
            <w:noWrap w:val="0"/>
            <w:vAlign w:val="center"/>
          </w:tcPr>
          <w:p w14:paraId="4DEC5066">
            <w:pPr>
              <w:keepNext w:val="0"/>
              <w:keepLines w:val="0"/>
              <w:pageBreakBefore w:val="0"/>
              <w:widowControl/>
              <w:numPr>
                <w:ilvl w:val="0"/>
                <w:numId w:val="0"/>
              </w:numPr>
              <w:kinsoku/>
              <w:wordWrap/>
              <w:overflowPunct/>
              <w:topLinePunct w:val="0"/>
              <w:autoSpaceDE/>
              <w:autoSpaceDN/>
              <w:bidi w:val="0"/>
              <w:adjustRightInd/>
              <w:snapToGrid/>
              <w:spacing w:line="440" w:lineRule="exact"/>
              <w:ind w:firstLine="240" w:firstLineChars="1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p>
        </w:tc>
        <w:tc>
          <w:tcPr>
            <w:tcW w:w="1858" w:type="dxa"/>
            <w:noWrap w:val="0"/>
            <w:vAlign w:val="center"/>
          </w:tcPr>
          <w:p w14:paraId="482CA033">
            <w:pPr>
              <w:keepNext w:val="0"/>
              <w:keepLines w:val="0"/>
              <w:pageBreakBefore w:val="0"/>
              <w:widowControl/>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带式输送机用盘式制动装置</w:t>
            </w:r>
          </w:p>
        </w:tc>
        <w:tc>
          <w:tcPr>
            <w:tcW w:w="2374" w:type="dxa"/>
            <w:noWrap w:val="0"/>
            <w:vAlign w:val="center"/>
          </w:tcPr>
          <w:p w14:paraId="18D664F3">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KPZ-1400</w:t>
            </w:r>
          </w:p>
        </w:tc>
        <w:tc>
          <w:tcPr>
            <w:tcW w:w="743" w:type="dxa"/>
            <w:noWrap w:val="0"/>
            <w:vAlign w:val="center"/>
          </w:tcPr>
          <w:p w14:paraId="22D0796C">
            <w:pPr>
              <w:keepNext w:val="0"/>
              <w:keepLines w:val="0"/>
              <w:pageBreakBefore w:val="0"/>
              <w:widowControl/>
              <w:numPr>
                <w:ilvl w:val="0"/>
                <w:numId w:val="0"/>
              </w:numPr>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p>
        </w:tc>
        <w:tc>
          <w:tcPr>
            <w:tcW w:w="3250" w:type="dxa"/>
            <w:noWrap w:val="0"/>
            <w:vAlign w:val="center"/>
          </w:tcPr>
          <w:p w14:paraId="74E9DE4F">
            <w:pPr>
              <w:keepNext w:val="0"/>
              <w:keepLines w:val="0"/>
              <w:pageBreakBefore w:val="0"/>
              <w:widowControl/>
              <w:numPr>
                <w:ilvl w:val="0"/>
                <w:numId w:val="0"/>
              </w:numPr>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每套含泵站1台，1400制动盘2片，制动头2个，支架2件，配齐与永磁滚筒联接内六角螺丝</w:t>
            </w:r>
          </w:p>
        </w:tc>
      </w:tr>
      <w:tr w14:paraId="06A2D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exact"/>
          <w:jc w:val="center"/>
        </w:trPr>
        <w:tc>
          <w:tcPr>
            <w:tcW w:w="771" w:type="dxa"/>
            <w:noWrap w:val="0"/>
            <w:vAlign w:val="center"/>
          </w:tcPr>
          <w:p w14:paraId="2007F6A3">
            <w:pPr>
              <w:keepNext w:val="0"/>
              <w:keepLines w:val="0"/>
              <w:pageBreakBefore w:val="0"/>
              <w:widowControl/>
              <w:numPr>
                <w:ilvl w:val="0"/>
                <w:numId w:val="0"/>
              </w:numPr>
              <w:kinsoku/>
              <w:wordWrap/>
              <w:overflowPunct/>
              <w:topLinePunct w:val="0"/>
              <w:autoSpaceDE/>
              <w:autoSpaceDN/>
              <w:bidi w:val="0"/>
              <w:adjustRightInd/>
              <w:snapToGrid/>
              <w:spacing w:line="440" w:lineRule="exact"/>
              <w:ind w:firstLine="240" w:firstLineChars="1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p>
        </w:tc>
        <w:tc>
          <w:tcPr>
            <w:tcW w:w="1858" w:type="dxa"/>
            <w:noWrap w:val="0"/>
            <w:vAlign w:val="center"/>
          </w:tcPr>
          <w:p w14:paraId="4E4985B0">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矿用隔爆兼本质安全型电控箱</w:t>
            </w:r>
          </w:p>
          <w:p w14:paraId="6201560B">
            <w:pPr>
              <w:keepNext w:val="0"/>
              <w:keepLines w:val="0"/>
              <w:pageBreakBefore w:val="0"/>
              <w:widowControl/>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4"/>
                <w:szCs w:val="24"/>
                <w:lang w:val="en-US" w:eastAsia="zh-CN"/>
              </w:rPr>
            </w:pPr>
          </w:p>
          <w:p w14:paraId="7478109E">
            <w:pPr>
              <w:keepNext w:val="0"/>
              <w:keepLines w:val="0"/>
              <w:pageBreakBefore w:val="0"/>
              <w:widowControl/>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4"/>
                <w:szCs w:val="24"/>
                <w:lang w:val="en-US" w:eastAsia="zh-CN"/>
              </w:rPr>
            </w:pPr>
          </w:p>
        </w:tc>
        <w:tc>
          <w:tcPr>
            <w:tcW w:w="2374" w:type="dxa"/>
            <w:noWrap w:val="0"/>
            <w:vAlign w:val="center"/>
          </w:tcPr>
          <w:p w14:paraId="26B7507D">
            <w:pPr>
              <w:keepNext w:val="0"/>
              <w:keepLines w:val="0"/>
              <w:pageBreakBefore w:val="0"/>
              <w:widowControl/>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KXJ1-30/1140(660)</w:t>
            </w:r>
          </w:p>
        </w:tc>
        <w:tc>
          <w:tcPr>
            <w:tcW w:w="743" w:type="dxa"/>
            <w:noWrap w:val="0"/>
            <w:vAlign w:val="center"/>
          </w:tcPr>
          <w:p w14:paraId="4B248CA5">
            <w:pPr>
              <w:keepNext w:val="0"/>
              <w:keepLines w:val="0"/>
              <w:pageBreakBefore w:val="0"/>
              <w:widowControl/>
              <w:numPr>
                <w:ilvl w:val="0"/>
                <w:numId w:val="0"/>
              </w:numPr>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p>
        </w:tc>
        <w:tc>
          <w:tcPr>
            <w:tcW w:w="3250" w:type="dxa"/>
            <w:noWrap w:val="0"/>
            <w:vAlign w:val="center"/>
          </w:tcPr>
          <w:p w14:paraId="1661FBB1">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center"/>
              <w:textAlignment w:val="auto"/>
              <w:rPr>
                <w:rFonts w:hint="eastAsia" w:ascii="宋体" w:hAnsi="宋体" w:eastAsia="宋体" w:cs="宋体"/>
                <w:color w:val="auto"/>
                <w:sz w:val="24"/>
                <w:szCs w:val="24"/>
                <w:lang w:val="en-US" w:eastAsia="zh-CN"/>
              </w:rPr>
            </w:pPr>
          </w:p>
          <w:p w14:paraId="40DFC7EE">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center"/>
              <w:textAlignment w:val="auto"/>
              <w:rPr>
                <w:rFonts w:hint="eastAsia" w:ascii="宋体" w:hAnsi="宋体" w:eastAsia="宋体" w:cs="宋体"/>
                <w:color w:val="auto"/>
                <w:sz w:val="24"/>
                <w:szCs w:val="24"/>
                <w:lang w:val="en-US" w:eastAsia="zh-CN"/>
              </w:rPr>
            </w:pPr>
          </w:p>
          <w:p w14:paraId="2871F00D">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center"/>
              <w:textAlignment w:val="auto"/>
              <w:rPr>
                <w:rFonts w:hint="eastAsia" w:ascii="宋体" w:hAnsi="宋体" w:eastAsia="宋体" w:cs="宋体"/>
                <w:color w:val="auto"/>
                <w:sz w:val="24"/>
                <w:szCs w:val="24"/>
                <w:lang w:val="en-US" w:eastAsia="zh-CN"/>
              </w:rPr>
            </w:pPr>
          </w:p>
          <w:p w14:paraId="688CE6E1">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center"/>
              <w:textAlignment w:val="auto"/>
              <w:rPr>
                <w:rFonts w:hint="eastAsia" w:ascii="宋体" w:hAnsi="宋体" w:eastAsia="宋体" w:cs="宋体"/>
                <w:color w:val="auto"/>
                <w:sz w:val="24"/>
                <w:szCs w:val="24"/>
                <w:lang w:val="en-US" w:eastAsia="zh-CN"/>
              </w:rPr>
            </w:pPr>
          </w:p>
        </w:tc>
      </w:tr>
      <w:tr w14:paraId="3CEF8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exact"/>
          <w:jc w:val="center"/>
        </w:trPr>
        <w:tc>
          <w:tcPr>
            <w:tcW w:w="771" w:type="dxa"/>
            <w:noWrap w:val="0"/>
            <w:vAlign w:val="center"/>
          </w:tcPr>
          <w:p w14:paraId="34F2CB1D">
            <w:pPr>
              <w:keepNext w:val="0"/>
              <w:keepLines w:val="0"/>
              <w:pageBreakBefore w:val="0"/>
              <w:widowControl/>
              <w:numPr>
                <w:ilvl w:val="0"/>
                <w:numId w:val="0"/>
              </w:numPr>
              <w:kinsoku/>
              <w:wordWrap/>
              <w:overflowPunct/>
              <w:topLinePunct w:val="0"/>
              <w:autoSpaceDE/>
              <w:autoSpaceDN/>
              <w:bidi w:val="0"/>
              <w:adjustRightInd/>
              <w:snapToGrid/>
              <w:spacing w:line="440" w:lineRule="exact"/>
              <w:ind w:firstLine="240" w:firstLineChars="1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w:t>
            </w:r>
          </w:p>
        </w:tc>
        <w:tc>
          <w:tcPr>
            <w:tcW w:w="1858" w:type="dxa"/>
            <w:noWrap w:val="0"/>
            <w:vAlign w:val="center"/>
          </w:tcPr>
          <w:p w14:paraId="7B15B9D9">
            <w:pPr>
              <w:keepNext w:val="0"/>
              <w:keepLines w:val="0"/>
              <w:pageBreakBefore w:val="0"/>
              <w:widowControl/>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矿用压力传感器</w:t>
            </w:r>
          </w:p>
        </w:tc>
        <w:tc>
          <w:tcPr>
            <w:tcW w:w="2374" w:type="dxa"/>
            <w:noWrap w:val="0"/>
            <w:vAlign w:val="center"/>
          </w:tcPr>
          <w:p w14:paraId="7D37DDD3">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GPD60</w:t>
            </w:r>
          </w:p>
        </w:tc>
        <w:tc>
          <w:tcPr>
            <w:tcW w:w="743" w:type="dxa"/>
            <w:noWrap w:val="0"/>
            <w:vAlign w:val="center"/>
          </w:tcPr>
          <w:p w14:paraId="7D85A403">
            <w:pPr>
              <w:keepNext w:val="0"/>
              <w:keepLines w:val="0"/>
              <w:pageBreakBefore w:val="0"/>
              <w:widowControl/>
              <w:numPr>
                <w:ilvl w:val="0"/>
                <w:numId w:val="0"/>
              </w:numPr>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p>
        </w:tc>
        <w:tc>
          <w:tcPr>
            <w:tcW w:w="3250" w:type="dxa"/>
            <w:noWrap w:val="0"/>
            <w:vAlign w:val="center"/>
          </w:tcPr>
          <w:p w14:paraId="3274A94C">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center"/>
              <w:textAlignment w:val="auto"/>
              <w:rPr>
                <w:rFonts w:hint="eastAsia" w:ascii="宋体" w:hAnsi="宋体" w:eastAsia="宋体" w:cs="宋体"/>
                <w:color w:val="auto"/>
                <w:sz w:val="24"/>
                <w:szCs w:val="24"/>
                <w:lang w:val="en-US" w:eastAsia="zh-CN"/>
              </w:rPr>
            </w:pPr>
          </w:p>
        </w:tc>
      </w:tr>
      <w:tr w14:paraId="018A1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exact"/>
          <w:jc w:val="center"/>
        </w:trPr>
        <w:tc>
          <w:tcPr>
            <w:tcW w:w="771" w:type="dxa"/>
            <w:noWrap w:val="0"/>
            <w:vAlign w:val="center"/>
          </w:tcPr>
          <w:p w14:paraId="74BA2218">
            <w:pPr>
              <w:keepNext w:val="0"/>
              <w:keepLines w:val="0"/>
              <w:pageBreakBefore w:val="0"/>
              <w:widowControl/>
              <w:numPr>
                <w:ilvl w:val="0"/>
                <w:numId w:val="0"/>
              </w:numPr>
              <w:kinsoku/>
              <w:wordWrap/>
              <w:overflowPunct/>
              <w:topLinePunct w:val="0"/>
              <w:autoSpaceDE/>
              <w:autoSpaceDN/>
              <w:bidi w:val="0"/>
              <w:adjustRightInd/>
              <w:snapToGrid/>
              <w:spacing w:line="440" w:lineRule="exact"/>
              <w:ind w:firstLine="240" w:firstLineChars="1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w:t>
            </w:r>
          </w:p>
        </w:tc>
        <w:tc>
          <w:tcPr>
            <w:tcW w:w="1858" w:type="dxa"/>
            <w:noWrap w:val="0"/>
            <w:vAlign w:val="center"/>
          </w:tcPr>
          <w:p w14:paraId="1A1A7659">
            <w:pPr>
              <w:keepNext w:val="0"/>
              <w:keepLines w:val="0"/>
              <w:pageBreakBefore w:val="0"/>
              <w:widowControl/>
              <w:numPr>
                <w:ilvl w:val="0"/>
                <w:numId w:val="0"/>
              </w:numPr>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液压胶管</w:t>
            </w:r>
          </w:p>
        </w:tc>
        <w:tc>
          <w:tcPr>
            <w:tcW w:w="2374" w:type="dxa"/>
            <w:noWrap w:val="0"/>
            <w:vAlign w:val="center"/>
          </w:tcPr>
          <w:p w14:paraId="5C321E49">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center"/>
              <w:textAlignment w:val="auto"/>
              <w:rPr>
                <w:rFonts w:hint="eastAsia" w:ascii="宋体" w:hAnsi="宋体" w:eastAsia="宋体" w:cs="宋体"/>
                <w:color w:val="auto"/>
                <w:sz w:val="24"/>
                <w:szCs w:val="24"/>
                <w:lang w:val="en-US" w:eastAsia="zh-CN"/>
              </w:rPr>
            </w:pPr>
          </w:p>
        </w:tc>
        <w:tc>
          <w:tcPr>
            <w:tcW w:w="743" w:type="dxa"/>
            <w:noWrap w:val="0"/>
            <w:vAlign w:val="center"/>
          </w:tcPr>
          <w:p w14:paraId="1C1BC724">
            <w:pPr>
              <w:keepNext w:val="0"/>
              <w:keepLines w:val="0"/>
              <w:pageBreakBefore w:val="0"/>
              <w:widowControl/>
              <w:numPr>
                <w:ilvl w:val="0"/>
                <w:numId w:val="0"/>
              </w:numPr>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40米</w:t>
            </w:r>
          </w:p>
        </w:tc>
        <w:tc>
          <w:tcPr>
            <w:tcW w:w="3250" w:type="dxa"/>
            <w:noWrap w:val="0"/>
            <w:vAlign w:val="center"/>
          </w:tcPr>
          <w:p w14:paraId="2F4F959F">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center"/>
              <w:textAlignment w:val="auto"/>
              <w:rPr>
                <w:rFonts w:hint="eastAsia" w:ascii="宋体" w:hAnsi="宋体" w:eastAsia="宋体" w:cs="宋体"/>
                <w:color w:val="auto"/>
                <w:sz w:val="24"/>
                <w:szCs w:val="24"/>
                <w:lang w:val="en-US" w:eastAsia="zh-CN"/>
              </w:rPr>
            </w:pPr>
          </w:p>
        </w:tc>
      </w:tr>
    </w:tbl>
    <w:p w14:paraId="3B1B17FF">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六</w:t>
      </w:r>
      <w:bookmarkStart w:id="0" w:name="_GoBack"/>
      <w:bookmarkEnd w:id="0"/>
      <w:r>
        <w:rPr>
          <w:rFonts w:hint="eastAsia" w:ascii="宋体" w:hAnsi="宋体" w:eastAsia="宋体" w:cs="宋体"/>
          <w:b/>
          <w:bCs/>
          <w:color w:val="auto"/>
          <w:sz w:val="24"/>
          <w:szCs w:val="24"/>
          <w:lang w:val="en-US" w:eastAsia="zh-CN"/>
        </w:rPr>
        <w:t>、售后服务和承诺</w:t>
      </w:r>
    </w:p>
    <w:p w14:paraId="5DF18404">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供货方产品按国标及行业标准执行，产品质量实行“三包”。发货时随机附带的文件包含但不限于：完整安装使用说明书、产品合格证、出厂检验报告，产品防爆、安标的资质文件；供货方承诺提供的防爆、安标资质编号及备案文件完全匹配技术协议所签订的产品，如有违反，所造成的直接或间接的一切责任将由供货方承担，如对需方生产及其他设备造成的经济损失的，供货方应无条件赔偿相关损失。</w:t>
      </w:r>
    </w:p>
    <w:p w14:paraId="3D77A591">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2、供货方承诺在货到送货地点或现场时，按照需方要求时间内安排技术人员提供免费技术指导、培训，免费指导设备调试安装。</w:t>
      </w:r>
    </w:p>
    <w:p w14:paraId="51C616D8">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3、供货方在接到需方技术服务申请后，于2小时内快速响应，并在24小时内安排人员达到现场解决问题，直至问题解决。</w:t>
      </w:r>
    </w:p>
    <w:p w14:paraId="3B5365A4">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4、因供货方供应的设备不符合技术协议中所规定的条款及产品质质量原因造成使用问题，供货方应无条件免费维修或更换，如对需方生产及其他设备造成的经济损失的，供货方应无条件赔偿相关损失。</w:t>
      </w:r>
    </w:p>
    <w:p w14:paraId="71F1EEAC">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5、当需方对供货方提供的设备和材料有质量疑问时，经双方协商后可进行必要的材质、性能、可靠性等品质检验。解释双方应相互配合，不应无故拖延。</w:t>
      </w:r>
    </w:p>
    <w:p w14:paraId="382C873D">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6、整机质保期为设备在使用现场验收合格并正式投入使用后12个月，质保期外优先提供服务，并以优惠价格提供备品备件。</w:t>
      </w:r>
    </w:p>
    <w:p w14:paraId="18E799CA">
      <w:pPr>
        <w:pStyle w:val="19"/>
        <w:spacing w:line="400" w:lineRule="exact"/>
        <w:jc w:val="both"/>
        <w:rPr>
          <w:rFonts w:hint="eastAsia" w:ascii="宋体" w:hAnsi="宋体" w:eastAsia="宋体" w:cs="宋体"/>
          <w:color w:val="auto"/>
          <w:sz w:val="24"/>
          <w:szCs w:val="24"/>
          <w:lang w:val="en-US" w:eastAsia="zh-CN"/>
        </w:rPr>
      </w:pPr>
    </w:p>
    <w:p w14:paraId="03E5EE9C">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lang w:val="en-US"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roman"/>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2D1B3A">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767221">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74767221">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0ED"/>
    <w:rsid w:val="00016F27"/>
    <w:rsid w:val="00037E8C"/>
    <w:rsid w:val="000874EA"/>
    <w:rsid w:val="000D11AF"/>
    <w:rsid w:val="00146A5D"/>
    <w:rsid w:val="00192E8A"/>
    <w:rsid w:val="003B667D"/>
    <w:rsid w:val="003D641C"/>
    <w:rsid w:val="00410DEA"/>
    <w:rsid w:val="0043796D"/>
    <w:rsid w:val="004737F8"/>
    <w:rsid w:val="004A06FE"/>
    <w:rsid w:val="005153BB"/>
    <w:rsid w:val="005F20ED"/>
    <w:rsid w:val="006956D2"/>
    <w:rsid w:val="006E1756"/>
    <w:rsid w:val="007248FC"/>
    <w:rsid w:val="00732901"/>
    <w:rsid w:val="00734D15"/>
    <w:rsid w:val="00745265"/>
    <w:rsid w:val="007F287D"/>
    <w:rsid w:val="007F331B"/>
    <w:rsid w:val="008F3229"/>
    <w:rsid w:val="00907DF0"/>
    <w:rsid w:val="00957FC0"/>
    <w:rsid w:val="009B1B50"/>
    <w:rsid w:val="00A8056C"/>
    <w:rsid w:val="00AA0A4A"/>
    <w:rsid w:val="00B139AC"/>
    <w:rsid w:val="00BB191F"/>
    <w:rsid w:val="00CC55B5"/>
    <w:rsid w:val="00D646C3"/>
    <w:rsid w:val="00E0579E"/>
    <w:rsid w:val="00EA75D7"/>
    <w:rsid w:val="00F862DA"/>
    <w:rsid w:val="00FC1F2D"/>
    <w:rsid w:val="00FE32CF"/>
    <w:rsid w:val="01303AC5"/>
    <w:rsid w:val="02D22FDF"/>
    <w:rsid w:val="02DA6C6B"/>
    <w:rsid w:val="02F307DE"/>
    <w:rsid w:val="041A162E"/>
    <w:rsid w:val="04CC2CD9"/>
    <w:rsid w:val="05257DE5"/>
    <w:rsid w:val="056E23A3"/>
    <w:rsid w:val="05C515F4"/>
    <w:rsid w:val="06E329B1"/>
    <w:rsid w:val="07BB6D3F"/>
    <w:rsid w:val="0B4B2E71"/>
    <w:rsid w:val="0CE972C6"/>
    <w:rsid w:val="0D4F354A"/>
    <w:rsid w:val="0D862175"/>
    <w:rsid w:val="0E175161"/>
    <w:rsid w:val="0E3E1F17"/>
    <w:rsid w:val="0E4B1F3E"/>
    <w:rsid w:val="0E5C414B"/>
    <w:rsid w:val="0E73247C"/>
    <w:rsid w:val="0EEF19D2"/>
    <w:rsid w:val="0F4672D5"/>
    <w:rsid w:val="0FAB0EE6"/>
    <w:rsid w:val="0FC3693D"/>
    <w:rsid w:val="10E70A61"/>
    <w:rsid w:val="10F52FB0"/>
    <w:rsid w:val="11691059"/>
    <w:rsid w:val="11B5604C"/>
    <w:rsid w:val="120303CF"/>
    <w:rsid w:val="139040F6"/>
    <w:rsid w:val="143F7286"/>
    <w:rsid w:val="155B0E57"/>
    <w:rsid w:val="15C30E48"/>
    <w:rsid w:val="16302F6C"/>
    <w:rsid w:val="163D0467"/>
    <w:rsid w:val="19365E81"/>
    <w:rsid w:val="193810EA"/>
    <w:rsid w:val="194F5107"/>
    <w:rsid w:val="19B4308D"/>
    <w:rsid w:val="19E65E70"/>
    <w:rsid w:val="1ADD0FB6"/>
    <w:rsid w:val="1AE8650F"/>
    <w:rsid w:val="1C575F09"/>
    <w:rsid w:val="1CD427EF"/>
    <w:rsid w:val="1E0B1AF9"/>
    <w:rsid w:val="1E722A27"/>
    <w:rsid w:val="20947775"/>
    <w:rsid w:val="20D64A1E"/>
    <w:rsid w:val="213B5F00"/>
    <w:rsid w:val="21A846F5"/>
    <w:rsid w:val="21D273E5"/>
    <w:rsid w:val="24450581"/>
    <w:rsid w:val="2A7F01A0"/>
    <w:rsid w:val="2AA65345"/>
    <w:rsid w:val="2AD13FE0"/>
    <w:rsid w:val="2B542747"/>
    <w:rsid w:val="2BAF7421"/>
    <w:rsid w:val="2C675E30"/>
    <w:rsid w:val="2D112D06"/>
    <w:rsid w:val="2D326A77"/>
    <w:rsid w:val="2EE45D6B"/>
    <w:rsid w:val="31800540"/>
    <w:rsid w:val="319832D5"/>
    <w:rsid w:val="32EB51E3"/>
    <w:rsid w:val="33C304ED"/>
    <w:rsid w:val="33E829CE"/>
    <w:rsid w:val="34E97C37"/>
    <w:rsid w:val="34F414DD"/>
    <w:rsid w:val="35301D0A"/>
    <w:rsid w:val="361E6007"/>
    <w:rsid w:val="382F655C"/>
    <w:rsid w:val="38AF73EA"/>
    <w:rsid w:val="38E14048"/>
    <w:rsid w:val="39077435"/>
    <w:rsid w:val="3A44231A"/>
    <w:rsid w:val="3C4165AB"/>
    <w:rsid w:val="3E3A7756"/>
    <w:rsid w:val="3F3A328A"/>
    <w:rsid w:val="3FDF76A7"/>
    <w:rsid w:val="403F151E"/>
    <w:rsid w:val="405A7C3B"/>
    <w:rsid w:val="406D5BC1"/>
    <w:rsid w:val="408814A0"/>
    <w:rsid w:val="40971A00"/>
    <w:rsid w:val="40B41A41"/>
    <w:rsid w:val="40CA7159"/>
    <w:rsid w:val="40DC68A2"/>
    <w:rsid w:val="418D5DEE"/>
    <w:rsid w:val="42B82B49"/>
    <w:rsid w:val="434A21E9"/>
    <w:rsid w:val="436F1530"/>
    <w:rsid w:val="45E72A8B"/>
    <w:rsid w:val="46B71E44"/>
    <w:rsid w:val="47F06B95"/>
    <w:rsid w:val="480908C5"/>
    <w:rsid w:val="48211BC6"/>
    <w:rsid w:val="4822419E"/>
    <w:rsid w:val="48831CF9"/>
    <w:rsid w:val="49D9233C"/>
    <w:rsid w:val="4C8A5D4C"/>
    <w:rsid w:val="4C9E7102"/>
    <w:rsid w:val="4CA06E6A"/>
    <w:rsid w:val="4CBE38BE"/>
    <w:rsid w:val="4EE82556"/>
    <w:rsid w:val="50563A7C"/>
    <w:rsid w:val="50B22E9A"/>
    <w:rsid w:val="51363DAD"/>
    <w:rsid w:val="51952DA1"/>
    <w:rsid w:val="51D35A9F"/>
    <w:rsid w:val="51E90CD7"/>
    <w:rsid w:val="52295D9F"/>
    <w:rsid w:val="538F59F6"/>
    <w:rsid w:val="53D167AB"/>
    <w:rsid w:val="541370BB"/>
    <w:rsid w:val="571B7CCD"/>
    <w:rsid w:val="58087463"/>
    <w:rsid w:val="586A3A13"/>
    <w:rsid w:val="59903D44"/>
    <w:rsid w:val="59973856"/>
    <w:rsid w:val="59CF6885"/>
    <w:rsid w:val="5A4B07FD"/>
    <w:rsid w:val="5A4C21A4"/>
    <w:rsid w:val="5AE0689A"/>
    <w:rsid w:val="5B562310"/>
    <w:rsid w:val="5B597CE2"/>
    <w:rsid w:val="5B9C5154"/>
    <w:rsid w:val="5BD8739D"/>
    <w:rsid w:val="5CBE33B6"/>
    <w:rsid w:val="5CD017B9"/>
    <w:rsid w:val="5CDC6150"/>
    <w:rsid w:val="5D083376"/>
    <w:rsid w:val="5D810AA5"/>
    <w:rsid w:val="5E380865"/>
    <w:rsid w:val="61392BBA"/>
    <w:rsid w:val="61AB7E9C"/>
    <w:rsid w:val="625E4E42"/>
    <w:rsid w:val="643D30F4"/>
    <w:rsid w:val="651E3EA0"/>
    <w:rsid w:val="66A75CD2"/>
    <w:rsid w:val="68962B8B"/>
    <w:rsid w:val="69FD5093"/>
    <w:rsid w:val="6AB05F13"/>
    <w:rsid w:val="6C862D61"/>
    <w:rsid w:val="6C90660F"/>
    <w:rsid w:val="6F2C4252"/>
    <w:rsid w:val="6FBE7937"/>
    <w:rsid w:val="712B4B58"/>
    <w:rsid w:val="71DB20DB"/>
    <w:rsid w:val="72031631"/>
    <w:rsid w:val="73160F31"/>
    <w:rsid w:val="735866C5"/>
    <w:rsid w:val="747550C0"/>
    <w:rsid w:val="74D86DA5"/>
    <w:rsid w:val="74DC2E1E"/>
    <w:rsid w:val="781520BE"/>
    <w:rsid w:val="788A76B4"/>
    <w:rsid w:val="79042C9C"/>
    <w:rsid w:val="793675A6"/>
    <w:rsid w:val="7D4B7F6E"/>
    <w:rsid w:val="7E350F85"/>
    <w:rsid w:val="7E3C03A5"/>
    <w:rsid w:val="7F2E23E3"/>
    <w:rsid w:val="7F595594"/>
    <w:rsid w:val="7F6047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b/>
      <w:bCs/>
      <w:kern w:val="44"/>
      <w:sz w:val="44"/>
      <w:szCs w:val="44"/>
    </w:rPr>
  </w:style>
  <w:style w:type="paragraph" w:styleId="3">
    <w:name w:val="heading 2"/>
    <w:basedOn w:val="1"/>
    <w:next w:val="1"/>
    <w:link w:val="20"/>
    <w:qFormat/>
    <w:uiPriority w:val="0"/>
    <w:pPr>
      <w:keepNext/>
      <w:keepLines/>
      <w:adjustRightInd w:val="0"/>
      <w:spacing w:before="260" w:beforeLines="0" w:after="260" w:afterLines="0" w:line="416" w:lineRule="atLeast"/>
      <w:jc w:val="left"/>
      <w:textAlignment w:val="baseline"/>
      <w:outlineLvl w:val="1"/>
    </w:pPr>
    <w:rPr>
      <w:rFonts w:ascii="宋体" w:hAnsi="Arial"/>
      <w:b/>
      <w:kern w:val="0"/>
      <w:sz w:val="28"/>
      <w:szCs w:val="20"/>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toa heading"/>
    <w:basedOn w:val="1"/>
    <w:next w:val="1"/>
    <w:unhideWhenUsed/>
    <w:qFormat/>
    <w:uiPriority w:val="0"/>
    <w:pPr>
      <w:spacing w:before="120"/>
    </w:pPr>
    <w:rPr>
      <w:rFonts w:ascii="Arial" w:hAnsi="Arial" w:cs="Arial"/>
    </w:rPr>
  </w:style>
  <w:style w:type="paragraph" w:styleId="5">
    <w:name w:val="Body Text"/>
    <w:basedOn w:val="1"/>
    <w:unhideWhenUsed/>
    <w:qFormat/>
    <w:uiPriority w:val="99"/>
    <w:pPr>
      <w:spacing w:after="120"/>
    </w:pPr>
  </w:style>
  <w:style w:type="paragraph" w:styleId="6">
    <w:name w:val="Body Text Indent"/>
    <w:basedOn w:val="1"/>
    <w:next w:val="1"/>
    <w:qFormat/>
    <w:uiPriority w:val="0"/>
    <w:pPr>
      <w:spacing w:after="120"/>
      <w:ind w:left="420" w:leftChars="200"/>
    </w:pPr>
  </w:style>
  <w:style w:type="paragraph" w:styleId="7">
    <w:name w:val="Balloon Text"/>
    <w:basedOn w:val="1"/>
    <w:link w:val="16"/>
    <w:semiHidden/>
    <w:unhideWhenUsed/>
    <w:qFormat/>
    <w:uiPriority w:val="99"/>
    <w:rPr>
      <w:sz w:val="18"/>
      <w:szCs w:val="18"/>
    </w:rPr>
  </w:style>
  <w:style w:type="paragraph" w:styleId="8">
    <w:name w:val="footer"/>
    <w:basedOn w:val="1"/>
    <w:link w:val="15"/>
    <w:unhideWhenUsed/>
    <w:qFormat/>
    <w:uiPriority w:val="99"/>
    <w:pPr>
      <w:tabs>
        <w:tab w:val="center" w:pos="4153"/>
        <w:tab w:val="right" w:pos="8306"/>
      </w:tabs>
      <w:snapToGrid w:val="0"/>
      <w:jc w:val="left"/>
    </w:pPr>
    <w:rPr>
      <w:sz w:val="18"/>
      <w:szCs w:val="18"/>
    </w:rPr>
  </w:style>
  <w:style w:type="paragraph" w:styleId="9">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Body Text First Indent 2"/>
    <w:basedOn w:val="6"/>
    <w:next w:val="1"/>
    <w:qFormat/>
    <w:uiPriority w:val="0"/>
    <w:pPr>
      <w:ind w:firstLine="420" w:firstLineChars="2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页眉 Char"/>
    <w:basedOn w:val="13"/>
    <w:link w:val="9"/>
    <w:qFormat/>
    <w:uiPriority w:val="99"/>
    <w:rPr>
      <w:sz w:val="18"/>
      <w:szCs w:val="18"/>
    </w:rPr>
  </w:style>
  <w:style w:type="character" w:customStyle="1" w:styleId="15">
    <w:name w:val="页脚 Char"/>
    <w:basedOn w:val="13"/>
    <w:link w:val="8"/>
    <w:qFormat/>
    <w:uiPriority w:val="99"/>
    <w:rPr>
      <w:sz w:val="18"/>
      <w:szCs w:val="18"/>
    </w:rPr>
  </w:style>
  <w:style w:type="character" w:customStyle="1" w:styleId="16">
    <w:name w:val="批注框文本 Char"/>
    <w:basedOn w:val="13"/>
    <w:link w:val="7"/>
    <w:semiHidden/>
    <w:qFormat/>
    <w:uiPriority w:val="99"/>
    <w:rPr>
      <w:sz w:val="18"/>
      <w:szCs w:val="18"/>
    </w:rPr>
  </w:style>
  <w:style w:type="paragraph" w:styleId="17">
    <w:name w:val="List Paragraph"/>
    <w:basedOn w:val="1"/>
    <w:qFormat/>
    <w:uiPriority w:val="34"/>
    <w:pPr>
      <w:spacing w:line="360" w:lineRule="auto"/>
      <w:ind w:firstLine="420" w:firstLineChars="200"/>
      <w:jc w:val="left"/>
    </w:pPr>
    <w:rPr>
      <w:rFonts w:ascii="宋体" w:hAnsi="宋体" w:cs="Times New Roman"/>
      <w:sz w:val="24"/>
      <w:szCs w:val="24"/>
    </w:rPr>
  </w:style>
  <w:style w:type="paragraph" w:customStyle="1" w:styleId="18">
    <w:name w:val="p"/>
    <w:basedOn w:val="1"/>
    <w:qFormat/>
    <w:uiPriority w:val="0"/>
    <w:pPr>
      <w:widowControl/>
      <w:spacing w:line="525" w:lineRule="atLeast"/>
      <w:ind w:firstLine="375"/>
      <w:jc w:val="left"/>
    </w:pPr>
    <w:rPr>
      <w:kern w:val="0"/>
      <w:sz w:val="24"/>
    </w:rPr>
  </w:style>
  <w:style w:type="paragraph" w:customStyle="1" w:styleId="19">
    <w:name w:val="0"/>
    <w:basedOn w:val="1"/>
    <w:qFormat/>
    <w:uiPriority w:val="0"/>
    <w:pPr>
      <w:widowControl/>
    </w:pPr>
    <w:rPr>
      <w:rFonts w:eastAsia="Arial Unicode MS"/>
      <w:kern w:val="0"/>
      <w:szCs w:val="20"/>
    </w:rPr>
  </w:style>
  <w:style w:type="character" w:customStyle="1" w:styleId="20">
    <w:name w:val="标题 2 Char"/>
    <w:link w:val="3"/>
    <w:qFormat/>
    <w:uiPriority w:val="0"/>
    <w:rPr>
      <w:rFonts w:ascii="宋体" w:hAnsi="Arial"/>
      <w:b/>
      <w:kern w:val="0"/>
      <w:sz w:val="28"/>
      <w:szCs w:val="20"/>
    </w:rPr>
  </w:style>
  <w:style w:type="character" w:customStyle="1" w:styleId="21">
    <w:name w:val="font51"/>
    <w:basedOn w:val="13"/>
    <w:qFormat/>
    <w:uiPriority w:val="0"/>
    <w:rPr>
      <w:rFonts w:hint="eastAsia" w:ascii="宋体" w:hAnsi="宋体" w:eastAsia="宋体" w:cs="宋体"/>
      <w:color w:val="000000"/>
      <w:sz w:val="24"/>
      <w:szCs w:val="24"/>
      <w:u w:val="none"/>
    </w:rPr>
  </w:style>
  <w:style w:type="paragraph" w:customStyle="1" w:styleId="22">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1265</Words>
  <Characters>1405</Characters>
  <Lines>35</Lines>
  <Paragraphs>9</Paragraphs>
  <TotalTime>11</TotalTime>
  <ScaleCrop>false</ScaleCrop>
  <LinksUpToDate>false</LinksUpToDate>
  <CharactersWithSpaces>1437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2021-08-20T09:01:00Z</dcterms:created>
  <dc:creator>Microsoft</dc:creator>
  <cp:lastModifiedBy>千念</cp:lastModifiedBy>
  <cp:lastPrinted>2025-06-20T06:31:00Z</cp:lastPrinted>
  <dcterms:modified xsi:type="dcterms:W3CDTF">2026-06-23T03:25:32Z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747B9AD8B724418D9406FD406C52F1AC_13</vt:lpwstr>
  </property>
  <property fmtid="{D5CDD505-2E9C-101B-9397-08002B2CF9AE}" pid="4" name="KSOTemplateDocerSaveRecord">
    <vt:lpwstr>eyJoZGlkIjoiYTFlODFmOGZlM2MwNTJmZTkyY2ZlZmM0Y2FiZDdjMDAiLCJ1c2VySWQiOiI0MjQ5NTk1MDYifQ==</vt:lpwstr>
  </property>
</Properties>
</file>