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03A27">
      <w:pPr>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bCs/>
          <w:kern w:val="2"/>
          <w:sz w:val="24"/>
          <w:szCs w:val="24"/>
          <w:lang w:val="en-US" w:eastAsia="zh-CN" w:bidi="ar-SA"/>
        </w:rPr>
        <w:t>附件1：</w:t>
      </w:r>
    </w:p>
    <w:p w14:paraId="77F22A3F">
      <w:pPr>
        <w:pStyle w:val="9"/>
        <w:spacing w:before="0" w:after="0" w:line="360" w:lineRule="auto"/>
        <w:jc w:val="center"/>
        <w:rPr>
          <w:rFonts w:hint="eastAsia" w:asciiTheme="minorEastAsia" w:hAnsiTheme="minorEastAsia" w:eastAsiaTheme="minorEastAsia" w:cstheme="minorEastAsia"/>
          <w:color w:val="auto"/>
          <w:sz w:val="24"/>
          <w:szCs w:val="24"/>
          <w:highlight w:val="none"/>
        </w:rPr>
      </w:pPr>
      <w:bookmarkStart w:id="0" w:name="_Toc45661896"/>
      <w:bookmarkStart w:id="1" w:name="_Toc4242"/>
      <w:bookmarkStart w:id="2" w:name="_Toc32403"/>
      <w:bookmarkStart w:id="3" w:name="_Toc15035"/>
      <w:bookmarkStart w:id="4" w:name="_Toc12902"/>
      <w:bookmarkStart w:id="5" w:name="_Toc14238"/>
      <w:bookmarkStart w:id="6" w:name="_Toc17190"/>
      <w:bookmarkStart w:id="7" w:name="_Toc70784409"/>
      <w:bookmarkStart w:id="8" w:name="_Toc9369"/>
      <w:bookmarkStart w:id="9" w:name="_Toc25209"/>
      <w:bookmarkStart w:id="10" w:name="_Toc27291"/>
      <w:bookmarkStart w:id="11" w:name="_Toc21753"/>
      <w:r>
        <w:rPr>
          <w:rFonts w:hint="eastAsia" w:asciiTheme="minorEastAsia" w:hAnsiTheme="minorEastAsia" w:eastAsiaTheme="minorEastAsia" w:cstheme="minorEastAsia"/>
          <w:color w:val="auto"/>
          <w:sz w:val="24"/>
          <w:szCs w:val="24"/>
          <w:highlight w:val="none"/>
        </w:rPr>
        <w:t>第四章 合同条款及格式</w:t>
      </w:r>
      <w:bookmarkEnd w:id="0"/>
      <w:bookmarkEnd w:id="1"/>
      <w:bookmarkEnd w:id="2"/>
      <w:bookmarkEnd w:id="3"/>
      <w:bookmarkEnd w:id="4"/>
      <w:bookmarkEnd w:id="5"/>
      <w:bookmarkEnd w:id="6"/>
      <w:bookmarkEnd w:id="7"/>
      <w:bookmarkEnd w:id="8"/>
      <w:bookmarkEnd w:id="9"/>
      <w:bookmarkEnd w:id="10"/>
      <w:bookmarkEnd w:id="11"/>
    </w:p>
    <w:p w14:paraId="645F1768">
      <w:pPr>
        <w:pStyle w:val="11"/>
        <w:spacing w:before="0" w:after="0" w:line="360" w:lineRule="auto"/>
        <w:jc w:val="center"/>
        <w:rPr>
          <w:rFonts w:hint="eastAsia" w:asciiTheme="minorEastAsia" w:hAnsiTheme="minorEastAsia" w:eastAsiaTheme="minorEastAsia" w:cstheme="minorEastAsia"/>
          <w:color w:val="auto"/>
          <w:sz w:val="24"/>
          <w:szCs w:val="24"/>
          <w:highlight w:val="none"/>
        </w:rPr>
      </w:pPr>
      <w:bookmarkStart w:id="12" w:name="_Toc17679"/>
      <w:bookmarkEnd w:id="12"/>
      <w:bookmarkStart w:id="13" w:name="_Toc70784450"/>
      <w:bookmarkEnd w:id="13"/>
      <w:bookmarkStart w:id="14" w:name="_Toc246996338"/>
      <w:bookmarkEnd w:id="14"/>
      <w:bookmarkStart w:id="15" w:name="_Toc1549"/>
      <w:bookmarkEnd w:id="15"/>
      <w:bookmarkStart w:id="16" w:name="_Toc247085853"/>
      <w:bookmarkEnd w:id="16"/>
      <w:bookmarkStart w:id="17" w:name="_Toc1908825318"/>
      <w:bookmarkEnd w:id="17"/>
      <w:bookmarkStart w:id="18" w:name="_Toc179632787"/>
      <w:bookmarkEnd w:id="18"/>
      <w:bookmarkStart w:id="19" w:name="_Toc246997081"/>
      <w:bookmarkEnd w:id="19"/>
      <w:bookmarkStart w:id="20" w:name="_Toc3346"/>
      <w:bookmarkEnd w:id="20"/>
      <w:bookmarkStart w:id="21" w:name="_Toc31311"/>
      <w:bookmarkStart w:id="22" w:name="_Toc16670"/>
      <w:bookmarkStart w:id="23" w:name="_Toc8858"/>
      <w:bookmarkStart w:id="24" w:name="_Toc106718886"/>
      <w:r>
        <w:rPr>
          <w:rFonts w:hint="eastAsia" w:asciiTheme="minorEastAsia" w:hAnsiTheme="minorEastAsia" w:eastAsiaTheme="minorEastAsia" w:cstheme="minorEastAsia"/>
          <w:color w:val="auto"/>
          <w:sz w:val="24"/>
          <w:szCs w:val="24"/>
          <w:highlight w:val="none"/>
        </w:rPr>
        <w:t>第一部分 合同协议书</w:t>
      </w:r>
      <w:bookmarkEnd w:id="21"/>
      <w:bookmarkEnd w:id="22"/>
      <w:bookmarkEnd w:id="23"/>
      <w:bookmarkEnd w:id="24"/>
      <w:bookmarkStart w:id="25" w:name="_Toc21403"/>
    </w:p>
    <w:bookmarkEnd w:id="25"/>
    <w:p w14:paraId="7644358F">
      <w:pPr>
        <w:snapToGrid w:val="0"/>
        <w:spacing w:line="360" w:lineRule="auto"/>
        <w:ind w:firstLine="482" w:firstLineChars="200"/>
        <w:rPr>
          <w:rFonts w:hint="eastAsia" w:asciiTheme="minorEastAsia" w:hAnsiTheme="minorEastAsia" w:eastAsiaTheme="minorEastAsia" w:cstheme="minorEastAsia"/>
          <w:b/>
          <w:bCs/>
          <w:color w:val="auto"/>
          <w:kern w:val="2"/>
          <w:sz w:val="24"/>
          <w:szCs w:val="24"/>
          <w:highlight w:val="none"/>
        </w:rPr>
      </w:pPr>
      <w:bookmarkStart w:id="26" w:name="_Toc2469963381"/>
      <w:bookmarkEnd w:id="26"/>
      <w:bookmarkStart w:id="27" w:name="_Toc707844501"/>
      <w:bookmarkEnd w:id="27"/>
      <w:bookmarkStart w:id="28" w:name="_Toc1796327871"/>
      <w:bookmarkEnd w:id="28"/>
      <w:bookmarkStart w:id="29" w:name="_Toc2470858531"/>
      <w:bookmarkEnd w:id="29"/>
      <w:bookmarkStart w:id="30" w:name="_Toc33461"/>
      <w:bookmarkEnd w:id="30"/>
      <w:bookmarkStart w:id="31" w:name="_Toc2469970811"/>
      <w:bookmarkEnd w:id="31"/>
    </w:p>
    <w:p w14:paraId="4C32F59D">
      <w:pPr>
        <w:snapToGrid w:val="0"/>
        <w:spacing w:line="360" w:lineRule="auto"/>
        <w:ind w:firstLine="482" w:firstLineChars="200"/>
        <w:rPr>
          <w:rFonts w:hint="eastAsia" w:asciiTheme="minorEastAsia" w:hAnsiTheme="minorEastAsia" w:eastAsiaTheme="minorEastAsia" w:cstheme="minorEastAsia"/>
          <w:b/>
          <w:bCs/>
          <w:color w:val="auto"/>
          <w:kern w:val="2"/>
          <w:sz w:val="24"/>
          <w:szCs w:val="24"/>
          <w:highlight w:val="none"/>
          <w:u w:val="single"/>
        </w:rPr>
      </w:pPr>
      <w:r>
        <w:rPr>
          <w:rFonts w:hint="eastAsia" w:asciiTheme="minorEastAsia" w:hAnsiTheme="minorEastAsia" w:eastAsiaTheme="minorEastAsia" w:cstheme="minorEastAsia"/>
          <w:b/>
          <w:bCs/>
          <w:color w:val="auto"/>
          <w:kern w:val="2"/>
          <w:sz w:val="24"/>
          <w:szCs w:val="24"/>
          <w:highlight w:val="none"/>
        </w:rPr>
        <w:t>买方：</w:t>
      </w:r>
      <w:r>
        <w:rPr>
          <w:rFonts w:hint="eastAsia" w:asciiTheme="minorEastAsia" w:hAnsiTheme="minorEastAsia" w:eastAsiaTheme="minorEastAsia" w:cstheme="minorEastAsia"/>
          <w:b/>
          <w:bCs/>
          <w:color w:val="auto"/>
          <w:kern w:val="2"/>
          <w:sz w:val="24"/>
          <w:szCs w:val="24"/>
          <w:highlight w:val="none"/>
          <w:u w:val="single"/>
        </w:rPr>
        <w:t xml:space="preserve">靖远煤业集团刘化化工有限公司 </w:t>
      </w:r>
    </w:p>
    <w:p w14:paraId="0E433AC5">
      <w:pPr>
        <w:snapToGrid w:val="0"/>
        <w:spacing w:line="360" w:lineRule="auto"/>
        <w:ind w:firstLine="482" w:firstLineChars="200"/>
        <w:rPr>
          <w:rFonts w:hint="eastAsia" w:asciiTheme="minorEastAsia" w:hAnsiTheme="minorEastAsia" w:eastAsiaTheme="minorEastAsia" w:cstheme="minorEastAsia"/>
          <w:b/>
          <w:bCs/>
          <w:color w:val="auto"/>
          <w:kern w:val="2"/>
          <w:sz w:val="24"/>
          <w:szCs w:val="24"/>
          <w:highlight w:val="none"/>
        </w:rPr>
      </w:pPr>
      <w:r>
        <w:rPr>
          <w:rFonts w:hint="eastAsia" w:asciiTheme="minorEastAsia" w:hAnsiTheme="minorEastAsia" w:eastAsiaTheme="minorEastAsia" w:cstheme="minorEastAsia"/>
          <w:b/>
          <w:bCs/>
          <w:color w:val="auto"/>
          <w:kern w:val="2"/>
          <w:sz w:val="24"/>
          <w:szCs w:val="24"/>
          <w:highlight w:val="none"/>
        </w:rPr>
        <w:t>卖方：</w:t>
      </w:r>
      <w:r>
        <w:rPr>
          <w:rFonts w:hint="eastAsia" w:asciiTheme="minorEastAsia" w:hAnsiTheme="minorEastAsia" w:eastAsiaTheme="minorEastAsia" w:cstheme="minorEastAsia"/>
          <w:b/>
          <w:bCs/>
          <w:color w:val="auto"/>
          <w:kern w:val="2"/>
          <w:sz w:val="24"/>
          <w:szCs w:val="24"/>
          <w:highlight w:val="none"/>
          <w:u w:val="single"/>
        </w:rPr>
        <w:t xml:space="preserve">                             </w:t>
      </w:r>
    </w:p>
    <w:p w14:paraId="3AF33F8F">
      <w:pPr>
        <w:spacing w:after="120" w:afterLines="50" w:line="360" w:lineRule="auto"/>
        <w:ind w:firstLine="480" w:firstLineChars="200"/>
        <w:rPr>
          <w:rFonts w:hint="eastAsia" w:asciiTheme="minorEastAsia" w:hAnsiTheme="minorEastAsia" w:eastAsiaTheme="minorEastAsia" w:cstheme="minorEastAsia"/>
          <w:color w:val="auto"/>
          <w:kern w:val="2"/>
          <w:sz w:val="24"/>
          <w:szCs w:val="24"/>
          <w:highlight w:val="none"/>
        </w:rPr>
      </w:pPr>
    </w:p>
    <w:p w14:paraId="674BE8B4">
      <w:pPr>
        <w:spacing w:after="120" w:afterLines="50" w:line="360" w:lineRule="auto"/>
        <w:jc w:val="cente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货物名称、计量单位、具体规格型号、数量一览表</w:t>
      </w:r>
    </w:p>
    <w:tbl>
      <w:tblPr>
        <w:tblStyle w:val="7"/>
        <w:tblW w:w="9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832"/>
        <w:gridCol w:w="1279"/>
        <w:gridCol w:w="947"/>
        <w:gridCol w:w="1103"/>
        <w:gridCol w:w="1419"/>
        <w:gridCol w:w="1737"/>
      </w:tblGrid>
      <w:tr w14:paraId="3DFE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3B1B483E">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序号</w:t>
            </w:r>
          </w:p>
        </w:tc>
        <w:tc>
          <w:tcPr>
            <w:tcW w:w="1831" w:type="dxa"/>
            <w:tcBorders>
              <w:top w:val="single" w:color="auto" w:sz="4" w:space="0"/>
              <w:left w:val="single" w:color="auto" w:sz="4" w:space="0"/>
              <w:bottom w:val="single" w:color="auto" w:sz="4" w:space="0"/>
              <w:right w:val="single" w:color="auto" w:sz="4" w:space="0"/>
            </w:tcBorders>
            <w:vAlign w:val="center"/>
          </w:tcPr>
          <w:p w14:paraId="0A99DE57">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货物名称</w:t>
            </w:r>
          </w:p>
        </w:tc>
        <w:tc>
          <w:tcPr>
            <w:tcW w:w="1279" w:type="dxa"/>
            <w:tcBorders>
              <w:top w:val="single" w:color="auto" w:sz="4" w:space="0"/>
              <w:left w:val="single" w:color="auto" w:sz="4" w:space="0"/>
              <w:bottom w:val="single" w:color="auto" w:sz="4" w:space="0"/>
              <w:right w:val="single" w:color="auto" w:sz="4" w:space="0"/>
            </w:tcBorders>
            <w:vAlign w:val="center"/>
          </w:tcPr>
          <w:p w14:paraId="4E5065E1">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规格</w:t>
            </w:r>
          </w:p>
        </w:tc>
        <w:tc>
          <w:tcPr>
            <w:tcW w:w="947" w:type="dxa"/>
            <w:tcBorders>
              <w:top w:val="single" w:color="auto" w:sz="4" w:space="0"/>
              <w:left w:val="single" w:color="auto" w:sz="4" w:space="0"/>
              <w:bottom w:val="single" w:color="auto" w:sz="4" w:space="0"/>
              <w:right w:val="single" w:color="auto" w:sz="4" w:space="0"/>
            </w:tcBorders>
            <w:vAlign w:val="center"/>
          </w:tcPr>
          <w:p w14:paraId="4707E0EC">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单位</w:t>
            </w:r>
          </w:p>
        </w:tc>
        <w:tc>
          <w:tcPr>
            <w:tcW w:w="1103" w:type="dxa"/>
            <w:tcBorders>
              <w:top w:val="single" w:color="auto" w:sz="4" w:space="0"/>
              <w:left w:val="single" w:color="auto" w:sz="4" w:space="0"/>
              <w:bottom w:val="single" w:color="auto" w:sz="4" w:space="0"/>
              <w:right w:val="single" w:color="auto" w:sz="4" w:space="0"/>
            </w:tcBorders>
            <w:vAlign w:val="center"/>
          </w:tcPr>
          <w:p w14:paraId="28C84A01">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数量</w:t>
            </w:r>
          </w:p>
        </w:tc>
        <w:tc>
          <w:tcPr>
            <w:tcW w:w="1419" w:type="dxa"/>
            <w:tcBorders>
              <w:top w:val="single" w:color="auto" w:sz="4" w:space="0"/>
              <w:left w:val="single" w:color="auto" w:sz="4" w:space="0"/>
              <w:bottom w:val="single" w:color="auto" w:sz="4" w:space="0"/>
              <w:right w:val="single" w:color="auto" w:sz="4" w:space="0"/>
            </w:tcBorders>
            <w:vAlign w:val="center"/>
          </w:tcPr>
          <w:p w14:paraId="6D3D0C98">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单价</w:t>
            </w:r>
          </w:p>
          <w:p w14:paraId="5BC8A7A1">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（元）</w:t>
            </w:r>
          </w:p>
        </w:tc>
        <w:tc>
          <w:tcPr>
            <w:tcW w:w="1734" w:type="dxa"/>
            <w:tcBorders>
              <w:top w:val="single" w:color="auto" w:sz="4" w:space="0"/>
              <w:left w:val="single" w:color="auto" w:sz="4" w:space="0"/>
              <w:bottom w:val="single" w:color="auto" w:sz="4" w:space="0"/>
              <w:right w:val="single" w:color="auto" w:sz="4" w:space="0"/>
            </w:tcBorders>
          </w:tcPr>
          <w:p w14:paraId="4F85195E">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完税总价</w:t>
            </w:r>
          </w:p>
          <w:p w14:paraId="6067E5D8">
            <w:pPr>
              <w:spacing w:line="360" w:lineRule="exact"/>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（元）</w:t>
            </w:r>
          </w:p>
        </w:tc>
      </w:tr>
      <w:tr w14:paraId="2892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546B0A63">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p>
        </w:tc>
        <w:tc>
          <w:tcPr>
            <w:tcW w:w="1831" w:type="dxa"/>
            <w:tcBorders>
              <w:top w:val="single" w:color="auto" w:sz="4" w:space="0"/>
              <w:left w:val="single" w:color="auto" w:sz="4" w:space="0"/>
              <w:bottom w:val="single" w:color="auto" w:sz="4" w:space="0"/>
              <w:right w:val="single" w:color="auto" w:sz="4" w:space="0"/>
            </w:tcBorders>
            <w:vAlign w:val="center"/>
          </w:tcPr>
          <w:p w14:paraId="5846D45A">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65771122">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947" w:type="dxa"/>
            <w:tcBorders>
              <w:top w:val="single" w:color="auto" w:sz="4" w:space="0"/>
              <w:left w:val="single" w:color="auto" w:sz="4" w:space="0"/>
              <w:bottom w:val="single" w:color="auto" w:sz="4" w:space="0"/>
              <w:right w:val="single" w:color="auto" w:sz="4" w:space="0"/>
            </w:tcBorders>
            <w:vAlign w:val="center"/>
          </w:tcPr>
          <w:p w14:paraId="0FFB407E">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vAlign w:val="center"/>
          </w:tcPr>
          <w:p w14:paraId="19651014">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1AAF1173">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734" w:type="dxa"/>
            <w:tcBorders>
              <w:top w:val="single" w:color="auto" w:sz="4" w:space="0"/>
              <w:left w:val="single" w:color="auto" w:sz="4" w:space="0"/>
              <w:bottom w:val="single" w:color="auto" w:sz="4" w:space="0"/>
              <w:right w:val="single" w:color="auto" w:sz="4" w:space="0"/>
            </w:tcBorders>
          </w:tcPr>
          <w:p w14:paraId="16058711">
            <w:pPr>
              <w:spacing w:line="360" w:lineRule="exact"/>
              <w:jc w:val="center"/>
              <w:rPr>
                <w:rFonts w:hint="eastAsia" w:asciiTheme="minorEastAsia" w:hAnsiTheme="minorEastAsia" w:eastAsiaTheme="minorEastAsia" w:cstheme="minorEastAsia"/>
                <w:color w:val="auto"/>
                <w:sz w:val="24"/>
                <w:szCs w:val="24"/>
                <w:highlight w:val="none"/>
              </w:rPr>
            </w:pPr>
          </w:p>
        </w:tc>
      </w:tr>
      <w:tr w14:paraId="1473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6CA25214">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w:t>
            </w:r>
          </w:p>
        </w:tc>
        <w:tc>
          <w:tcPr>
            <w:tcW w:w="1831" w:type="dxa"/>
            <w:tcBorders>
              <w:top w:val="single" w:color="auto" w:sz="4" w:space="0"/>
              <w:left w:val="single" w:color="auto" w:sz="4" w:space="0"/>
              <w:bottom w:val="single" w:color="auto" w:sz="4" w:space="0"/>
              <w:right w:val="single" w:color="auto" w:sz="4" w:space="0"/>
            </w:tcBorders>
            <w:vAlign w:val="center"/>
          </w:tcPr>
          <w:p w14:paraId="3D071E19">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747B7CB9">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947" w:type="dxa"/>
            <w:tcBorders>
              <w:top w:val="single" w:color="auto" w:sz="4" w:space="0"/>
              <w:left w:val="single" w:color="auto" w:sz="4" w:space="0"/>
              <w:bottom w:val="single" w:color="auto" w:sz="4" w:space="0"/>
              <w:right w:val="single" w:color="auto" w:sz="4" w:space="0"/>
            </w:tcBorders>
            <w:vAlign w:val="center"/>
          </w:tcPr>
          <w:p w14:paraId="66E5583B">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vAlign w:val="center"/>
          </w:tcPr>
          <w:p w14:paraId="3AE88358">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305064F1">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734" w:type="dxa"/>
            <w:tcBorders>
              <w:top w:val="single" w:color="auto" w:sz="4" w:space="0"/>
              <w:left w:val="single" w:color="auto" w:sz="4" w:space="0"/>
              <w:bottom w:val="single" w:color="auto" w:sz="4" w:space="0"/>
              <w:right w:val="single" w:color="auto" w:sz="4" w:space="0"/>
            </w:tcBorders>
          </w:tcPr>
          <w:p w14:paraId="22D18DAD">
            <w:pPr>
              <w:spacing w:line="360" w:lineRule="exact"/>
              <w:jc w:val="center"/>
              <w:rPr>
                <w:rFonts w:hint="eastAsia" w:asciiTheme="minorEastAsia" w:hAnsiTheme="minorEastAsia" w:eastAsiaTheme="minorEastAsia" w:cstheme="minorEastAsia"/>
                <w:color w:val="auto"/>
                <w:sz w:val="24"/>
                <w:szCs w:val="24"/>
                <w:highlight w:val="none"/>
              </w:rPr>
            </w:pPr>
          </w:p>
        </w:tc>
      </w:tr>
      <w:tr w14:paraId="2D89F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74" w:type="dxa"/>
            <w:tcBorders>
              <w:top w:val="single" w:color="auto" w:sz="4" w:space="0"/>
              <w:left w:val="single" w:color="auto" w:sz="4" w:space="0"/>
              <w:bottom w:val="single" w:color="auto" w:sz="4" w:space="0"/>
              <w:right w:val="single" w:color="auto" w:sz="4" w:space="0"/>
            </w:tcBorders>
            <w:vAlign w:val="center"/>
          </w:tcPr>
          <w:p w14:paraId="5A7150D9">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w:t>
            </w:r>
          </w:p>
        </w:tc>
        <w:tc>
          <w:tcPr>
            <w:tcW w:w="1831" w:type="dxa"/>
            <w:tcBorders>
              <w:top w:val="single" w:color="auto" w:sz="4" w:space="0"/>
              <w:left w:val="single" w:color="auto" w:sz="4" w:space="0"/>
              <w:bottom w:val="single" w:color="auto" w:sz="4" w:space="0"/>
              <w:right w:val="single" w:color="auto" w:sz="4" w:space="0"/>
            </w:tcBorders>
            <w:vAlign w:val="center"/>
          </w:tcPr>
          <w:p w14:paraId="2098066A">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14:paraId="1C70042A">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947" w:type="dxa"/>
            <w:tcBorders>
              <w:top w:val="single" w:color="auto" w:sz="4" w:space="0"/>
              <w:left w:val="single" w:color="auto" w:sz="4" w:space="0"/>
              <w:bottom w:val="single" w:color="auto" w:sz="4" w:space="0"/>
              <w:right w:val="single" w:color="auto" w:sz="4" w:space="0"/>
            </w:tcBorders>
            <w:vAlign w:val="center"/>
          </w:tcPr>
          <w:p w14:paraId="27962342">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103" w:type="dxa"/>
            <w:tcBorders>
              <w:top w:val="single" w:color="auto" w:sz="4" w:space="0"/>
              <w:left w:val="single" w:color="auto" w:sz="4" w:space="0"/>
              <w:bottom w:val="single" w:color="auto" w:sz="4" w:space="0"/>
              <w:right w:val="single" w:color="auto" w:sz="4" w:space="0"/>
            </w:tcBorders>
            <w:vAlign w:val="center"/>
          </w:tcPr>
          <w:p w14:paraId="2CD5F1E1">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1C65D135">
            <w:pPr>
              <w:spacing w:line="360" w:lineRule="exact"/>
              <w:jc w:val="center"/>
              <w:rPr>
                <w:rFonts w:hint="eastAsia" w:asciiTheme="minorEastAsia" w:hAnsiTheme="minorEastAsia" w:eastAsiaTheme="minorEastAsia" w:cstheme="minorEastAsia"/>
                <w:bCs/>
                <w:color w:val="auto"/>
                <w:sz w:val="24"/>
                <w:szCs w:val="24"/>
                <w:highlight w:val="none"/>
              </w:rPr>
            </w:pPr>
          </w:p>
        </w:tc>
        <w:tc>
          <w:tcPr>
            <w:tcW w:w="1734" w:type="dxa"/>
            <w:tcBorders>
              <w:top w:val="single" w:color="auto" w:sz="4" w:space="0"/>
              <w:left w:val="single" w:color="auto" w:sz="4" w:space="0"/>
              <w:bottom w:val="single" w:color="auto" w:sz="4" w:space="0"/>
              <w:right w:val="single" w:color="auto" w:sz="4" w:space="0"/>
            </w:tcBorders>
          </w:tcPr>
          <w:p w14:paraId="74497B7B">
            <w:pPr>
              <w:spacing w:line="360" w:lineRule="exact"/>
              <w:jc w:val="center"/>
              <w:rPr>
                <w:rFonts w:hint="eastAsia" w:asciiTheme="minorEastAsia" w:hAnsiTheme="minorEastAsia" w:eastAsiaTheme="minorEastAsia" w:cstheme="minorEastAsia"/>
                <w:color w:val="auto"/>
                <w:sz w:val="24"/>
                <w:szCs w:val="24"/>
                <w:highlight w:val="none"/>
              </w:rPr>
            </w:pPr>
          </w:p>
        </w:tc>
      </w:tr>
      <w:tr w14:paraId="792F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906" w:type="dxa"/>
            <w:gridSpan w:val="2"/>
            <w:tcBorders>
              <w:top w:val="single" w:color="auto" w:sz="4" w:space="0"/>
              <w:left w:val="single" w:color="auto" w:sz="4" w:space="0"/>
              <w:bottom w:val="single" w:color="auto" w:sz="4" w:space="0"/>
              <w:right w:val="single" w:color="auto" w:sz="4" w:space="0"/>
            </w:tcBorders>
            <w:vAlign w:val="center"/>
          </w:tcPr>
          <w:p w14:paraId="6F1FE75D">
            <w:pPr>
              <w:spacing w:line="360" w:lineRule="exact"/>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合同总金额</w:t>
            </w:r>
          </w:p>
        </w:tc>
        <w:tc>
          <w:tcPr>
            <w:tcW w:w="6485" w:type="dxa"/>
            <w:gridSpan w:val="5"/>
            <w:tcBorders>
              <w:top w:val="single" w:color="auto" w:sz="4" w:space="0"/>
              <w:left w:val="single" w:color="auto" w:sz="4" w:space="0"/>
              <w:bottom w:val="single" w:color="auto" w:sz="4" w:space="0"/>
              <w:right w:val="single" w:color="auto" w:sz="4" w:space="0"/>
            </w:tcBorders>
            <w:vAlign w:val="center"/>
          </w:tcPr>
          <w:p w14:paraId="1948F2C8">
            <w:pPr>
              <w:spacing w:line="360" w:lineRule="exac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人民币大写：</w:t>
            </w:r>
            <w:r>
              <w:rPr>
                <w:rFonts w:hint="eastAsia" w:asciiTheme="minorEastAsia" w:hAnsiTheme="minorEastAsia" w:eastAsiaTheme="minorEastAsia" w:cstheme="minorEastAsia"/>
                <w:color w:val="auto"/>
                <w:kern w:val="2"/>
                <w:sz w:val="24"/>
                <w:szCs w:val="24"/>
                <w:highlight w:val="none"/>
                <w:u w:val="single"/>
              </w:rPr>
              <w:t xml:space="preserve">        </w:t>
            </w:r>
            <w:r>
              <w:rPr>
                <w:rFonts w:hint="eastAsia" w:asciiTheme="minorEastAsia" w:hAnsiTheme="minorEastAsia" w:eastAsiaTheme="minorEastAsia" w:cstheme="minorEastAsia"/>
                <w:color w:val="auto"/>
                <w:kern w:val="2"/>
                <w:sz w:val="24"/>
                <w:szCs w:val="24"/>
                <w:highlight w:val="none"/>
              </w:rPr>
              <w:t>元（¥          元），含增值税   %</w:t>
            </w:r>
          </w:p>
          <w:p w14:paraId="635E40D8">
            <w:pPr>
              <w:spacing w:line="360" w:lineRule="exact"/>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本合同金额包含货物价格、包装费、运输费、装卸费以及增值税等一切费用。</w:t>
            </w:r>
          </w:p>
        </w:tc>
      </w:tr>
    </w:tbl>
    <w:p w14:paraId="1B080F5A">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07298B3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本合同由</w:t>
      </w:r>
      <w:r>
        <w:rPr>
          <w:rFonts w:hint="eastAsia" w:asciiTheme="minorEastAsia" w:hAnsiTheme="minorEastAsia" w:eastAsiaTheme="minorEastAsia" w:cstheme="minorEastAsia"/>
          <w:color w:val="auto"/>
          <w:sz w:val="24"/>
          <w:szCs w:val="24"/>
          <w:highlight w:val="none"/>
          <w:u w:val="single"/>
        </w:rPr>
        <w:t>靖远煤业集团刘化化工有限公司</w:t>
      </w:r>
      <w:r>
        <w:rPr>
          <w:rFonts w:hint="eastAsia" w:asciiTheme="minorEastAsia" w:hAnsiTheme="minorEastAsia" w:eastAsiaTheme="minorEastAsia" w:cstheme="minorEastAsia"/>
          <w:color w:val="auto"/>
          <w:sz w:val="24"/>
          <w:szCs w:val="24"/>
          <w:highlight w:val="none"/>
        </w:rPr>
        <w:t>(以下简称买方)与</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(以下简称卖方)签订，卖方愿以总价：人民币大写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向买方提供上述材料等，经双方协商一致达成下列合同条款：</w:t>
      </w:r>
    </w:p>
    <w:p w14:paraId="414F2EEB">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1.本合同买卖双方必须遵守《中华人民共和国民法典》及相关法律法规，并各自履行应负的全部责任。</w:t>
      </w:r>
    </w:p>
    <w:p w14:paraId="4727CB1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2.下列文件应视为构成并作为阅读和理解本合同协议书组成部分，构成本合同文件之间应是相互说明和相互补充的。如果合同文件之间出现歧义或矛盾，或合同文件中出现明显错误时按如下顺序解释：</w:t>
      </w:r>
    </w:p>
    <w:p w14:paraId="449A89D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 合同条款； </w:t>
      </w:r>
    </w:p>
    <w:p w14:paraId="583B04B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(2) </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函及</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函附录；</w:t>
      </w:r>
    </w:p>
    <w:p w14:paraId="37A9CC45">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(3) </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文件和澄清补充文件；</w:t>
      </w:r>
    </w:p>
    <w:p w14:paraId="4E2E93E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文件</w:t>
      </w:r>
    </w:p>
    <w:p w14:paraId="2F6CDE3C">
      <w:pPr>
        <w:spacing w:line="360" w:lineRule="auto"/>
        <w:ind w:firstLine="480" w:firstLineChars="200"/>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3</w:t>
      </w:r>
      <w:r>
        <w:rPr>
          <w:rFonts w:hint="eastAsia" w:asciiTheme="minorEastAsia" w:hAnsiTheme="minorEastAsia" w:eastAsiaTheme="minorEastAsia" w:cstheme="minorEastAsia"/>
          <w:color w:val="auto"/>
          <w:kern w:val="2"/>
          <w:sz w:val="24"/>
          <w:szCs w:val="24"/>
          <w:highlight w:val="none"/>
          <w:lang w:val="en-US" w:eastAsia="zh-CN"/>
        </w:rPr>
        <w:t>.</w:t>
      </w:r>
      <w:r>
        <w:rPr>
          <w:rFonts w:hint="eastAsia" w:asciiTheme="minorEastAsia" w:hAnsiTheme="minorEastAsia" w:eastAsiaTheme="minorEastAsia" w:cstheme="minorEastAsia"/>
          <w:color w:val="auto"/>
          <w:kern w:val="2"/>
          <w:sz w:val="24"/>
          <w:szCs w:val="24"/>
          <w:highlight w:val="none"/>
        </w:rPr>
        <w:t>卖方承诺保证完全按照合同约定提供质量合格的货物和售后服务。</w:t>
      </w:r>
    </w:p>
    <w:p w14:paraId="5954B788">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4.买方保证按合同中规定的时间和方式支付给卖方到期应付的货款。</w:t>
      </w:r>
    </w:p>
    <w:p w14:paraId="5BA0470C">
      <w:pPr>
        <w:spacing w:line="360" w:lineRule="auto"/>
        <w:ind w:firstLine="480" w:firstLineChars="200"/>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t>5、合同未尽事宜，双方另行签订补充协议，补充协议是合同的组成部分。</w:t>
      </w:r>
    </w:p>
    <w:p w14:paraId="374A301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6.本合同一式</w:t>
      </w:r>
      <w:r>
        <w:rPr>
          <w:rFonts w:hint="eastAsia" w:asciiTheme="minorEastAsia" w:hAnsiTheme="minorEastAsia" w:eastAsiaTheme="minorEastAsia" w:cstheme="minorEastAsia"/>
          <w:b/>
          <w:bCs/>
          <w:color w:val="auto"/>
          <w:sz w:val="24"/>
          <w:szCs w:val="24"/>
          <w:highlight w:val="none"/>
          <w:u w:val="single"/>
        </w:rPr>
        <w:t>拾</w:t>
      </w:r>
      <w:r>
        <w:rPr>
          <w:rFonts w:hint="eastAsia" w:asciiTheme="minorEastAsia" w:hAnsiTheme="minorEastAsia" w:eastAsiaTheme="minorEastAsia" w:cstheme="minorEastAsia"/>
          <w:color w:val="auto"/>
          <w:sz w:val="24"/>
          <w:szCs w:val="24"/>
          <w:highlight w:val="none"/>
        </w:rPr>
        <w:t>份，买方执</w:t>
      </w:r>
      <w:r>
        <w:rPr>
          <w:rFonts w:hint="eastAsia" w:asciiTheme="minorEastAsia" w:hAnsiTheme="minorEastAsia" w:eastAsiaTheme="minorEastAsia" w:cstheme="minorEastAsia"/>
          <w:b/>
          <w:bCs/>
          <w:color w:val="auto"/>
          <w:sz w:val="24"/>
          <w:szCs w:val="24"/>
          <w:highlight w:val="none"/>
          <w:u w:val="single"/>
        </w:rPr>
        <w:t>捌</w:t>
      </w:r>
      <w:r>
        <w:rPr>
          <w:rFonts w:hint="eastAsia" w:asciiTheme="minorEastAsia" w:hAnsiTheme="minorEastAsia" w:eastAsiaTheme="minorEastAsia" w:cstheme="minorEastAsia"/>
          <w:color w:val="auto"/>
          <w:sz w:val="24"/>
          <w:szCs w:val="24"/>
          <w:highlight w:val="none"/>
        </w:rPr>
        <w:t>份，卖方备存</w:t>
      </w:r>
      <w:r>
        <w:rPr>
          <w:rFonts w:hint="eastAsia" w:asciiTheme="minorEastAsia" w:hAnsiTheme="minorEastAsia" w:eastAsiaTheme="minorEastAsia" w:cstheme="minorEastAsia"/>
          <w:b/>
          <w:bCs/>
          <w:color w:val="auto"/>
          <w:sz w:val="24"/>
          <w:szCs w:val="24"/>
          <w:highlight w:val="none"/>
          <w:u w:val="single"/>
        </w:rPr>
        <w:t>贰</w:t>
      </w:r>
      <w:r>
        <w:rPr>
          <w:rFonts w:hint="eastAsia" w:asciiTheme="minorEastAsia" w:hAnsiTheme="minorEastAsia" w:eastAsiaTheme="minorEastAsia" w:cstheme="minorEastAsia"/>
          <w:color w:val="auto"/>
          <w:sz w:val="24"/>
          <w:szCs w:val="24"/>
          <w:highlight w:val="none"/>
        </w:rPr>
        <w:t>份。</w:t>
      </w:r>
    </w:p>
    <w:p w14:paraId="2A070707">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tbl>
      <w:tblPr>
        <w:tblStyle w:val="7"/>
        <w:tblpPr w:leftFromText="180" w:rightFromText="180" w:vertAnchor="text" w:horzAnchor="page" w:tblpXSpec="center" w:tblpY="-6"/>
        <w:tblOverlap w:val="never"/>
        <w:tblW w:w="9089"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5007"/>
        <w:gridCol w:w="4082"/>
      </w:tblGrid>
      <w:tr w14:paraId="6464C7B7">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7401" w:hRule="atLeast"/>
          <w:jc w:val="center"/>
        </w:trPr>
        <w:tc>
          <w:tcPr>
            <w:tcW w:w="5007" w:type="dxa"/>
            <w:tcBorders>
              <w:top w:val="nil"/>
              <w:left w:val="nil"/>
              <w:bottom w:val="nil"/>
              <w:right w:val="nil"/>
            </w:tcBorders>
          </w:tcPr>
          <w:p w14:paraId="15E45C73">
            <w:pPr>
              <w:snapToGrid w:val="0"/>
              <w:spacing w:line="520" w:lineRule="exact"/>
              <w:rPr>
                <w:rFonts w:hint="eastAsia" w:asciiTheme="minorEastAsia" w:hAnsiTheme="minorEastAsia" w:eastAsiaTheme="minorEastAsia" w:cstheme="minorEastAsia"/>
                <w:bCs/>
                <w:color w:val="auto"/>
                <w:sz w:val="24"/>
                <w:szCs w:val="24"/>
                <w:highlight w:val="none"/>
              </w:rPr>
            </w:pPr>
          </w:p>
          <w:p w14:paraId="7A09892A">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买方全称(盖章)：靖远煤业集团刘化化工有限公司 </w:t>
            </w:r>
          </w:p>
          <w:p w14:paraId="3109758A">
            <w:pPr>
              <w:snapToGrid w:val="0"/>
              <w:spacing w:line="520" w:lineRule="exact"/>
              <w:rPr>
                <w:rFonts w:hint="eastAsia" w:asciiTheme="minorEastAsia" w:hAnsiTheme="minorEastAsia" w:eastAsiaTheme="minorEastAsia" w:cstheme="minorEastAsia"/>
                <w:bCs/>
                <w:color w:val="auto"/>
                <w:sz w:val="24"/>
                <w:szCs w:val="24"/>
                <w:highlight w:val="none"/>
              </w:rPr>
            </w:pPr>
          </w:p>
          <w:p w14:paraId="612F691B">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法人代表：</w:t>
            </w:r>
          </w:p>
          <w:p w14:paraId="0EB328AD">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或委托代理人：</w:t>
            </w:r>
          </w:p>
          <w:p w14:paraId="6D8A59EF">
            <w:pPr>
              <w:snapToGrid w:val="0"/>
              <w:spacing w:line="5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rPr>
              <w:t>开户行：</w:t>
            </w:r>
          </w:p>
          <w:p w14:paraId="48BEDC41">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账  号：</w:t>
            </w:r>
            <w:r>
              <w:rPr>
                <w:rFonts w:hint="eastAsia" w:asciiTheme="minorEastAsia" w:hAnsiTheme="minorEastAsia" w:eastAsiaTheme="minorEastAsia" w:cstheme="minorEastAsia"/>
                <w:color w:val="auto"/>
                <w:sz w:val="24"/>
                <w:szCs w:val="24"/>
                <w:highlight w:val="none"/>
              </w:rPr>
              <w:t xml:space="preserve"> </w:t>
            </w:r>
          </w:p>
          <w:p w14:paraId="6ACE4E30">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税  号：</w:t>
            </w:r>
          </w:p>
          <w:p w14:paraId="34F0DF2C">
            <w:pPr>
              <w:snapToGrid w:val="0"/>
              <w:spacing w:line="5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rPr>
              <w:t>电  话：</w:t>
            </w:r>
          </w:p>
          <w:p w14:paraId="4E2D00B5">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地  址：</w:t>
            </w:r>
            <w:r>
              <w:rPr>
                <w:rFonts w:hint="eastAsia" w:asciiTheme="minorEastAsia" w:hAnsiTheme="minorEastAsia" w:eastAsiaTheme="minorEastAsia" w:cstheme="minorEastAsia"/>
                <w:color w:val="auto"/>
                <w:sz w:val="24"/>
                <w:szCs w:val="24"/>
                <w:highlight w:val="none"/>
              </w:rPr>
              <w:t xml:space="preserve"> </w:t>
            </w:r>
          </w:p>
        </w:tc>
        <w:tc>
          <w:tcPr>
            <w:tcW w:w="4082" w:type="dxa"/>
            <w:tcBorders>
              <w:top w:val="nil"/>
              <w:left w:val="nil"/>
              <w:bottom w:val="nil"/>
              <w:right w:val="nil"/>
            </w:tcBorders>
          </w:tcPr>
          <w:p w14:paraId="099A34B4">
            <w:pPr>
              <w:snapToGrid w:val="0"/>
              <w:spacing w:line="520" w:lineRule="exact"/>
              <w:rPr>
                <w:rFonts w:hint="eastAsia" w:asciiTheme="minorEastAsia" w:hAnsiTheme="minorEastAsia" w:eastAsiaTheme="minorEastAsia" w:cstheme="minorEastAsia"/>
                <w:bCs/>
                <w:color w:val="auto"/>
                <w:sz w:val="24"/>
                <w:szCs w:val="24"/>
                <w:highlight w:val="none"/>
              </w:rPr>
            </w:pPr>
          </w:p>
          <w:p w14:paraId="77A4A548">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卖方全称</w:t>
            </w:r>
            <w:r>
              <w:rPr>
                <w:rFonts w:hint="eastAsia" w:asciiTheme="minorEastAsia" w:hAnsiTheme="minorEastAsia" w:eastAsiaTheme="minorEastAsia" w:cstheme="minorEastAsia"/>
                <w:bCs/>
                <w:color w:val="auto"/>
                <w:sz w:val="24"/>
                <w:szCs w:val="24"/>
                <w:highlight w:val="none"/>
              </w:rPr>
              <w:t>（盖章）：</w:t>
            </w:r>
          </w:p>
          <w:p w14:paraId="1B84272B">
            <w:pPr>
              <w:snapToGrid w:val="0"/>
              <w:spacing w:line="520" w:lineRule="exact"/>
              <w:rPr>
                <w:rFonts w:hint="eastAsia" w:asciiTheme="minorEastAsia" w:hAnsiTheme="minorEastAsia" w:eastAsiaTheme="minorEastAsia" w:cstheme="minorEastAsia"/>
                <w:bCs/>
                <w:color w:val="auto"/>
                <w:sz w:val="24"/>
                <w:szCs w:val="24"/>
                <w:highlight w:val="none"/>
              </w:rPr>
            </w:pPr>
          </w:p>
          <w:p w14:paraId="7DD479D3">
            <w:pPr>
              <w:snapToGrid w:val="0"/>
              <w:spacing w:line="520" w:lineRule="exact"/>
              <w:rPr>
                <w:rFonts w:hint="eastAsia" w:asciiTheme="minorEastAsia" w:hAnsiTheme="minorEastAsia" w:eastAsiaTheme="minorEastAsia" w:cstheme="minorEastAsia"/>
                <w:bCs/>
                <w:color w:val="auto"/>
                <w:sz w:val="24"/>
                <w:szCs w:val="24"/>
                <w:highlight w:val="none"/>
              </w:rPr>
            </w:pPr>
          </w:p>
          <w:p w14:paraId="25BD6224">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法人代表：</w:t>
            </w:r>
          </w:p>
          <w:p w14:paraId="4F063951">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或委托代理人：</w:t>
            </w:r>
          </w:p>
          <w:p w14:paraId="7F607DF2">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开户行：</w:t>
            </w:r>
          </w:p>
          <w:p w14:paraId="0491DB6E">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账  号：</w:t>
            </w:r>
          </w:p>
          <w:p w14:paraId="627D64D5">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税  号：</w:t>
            </w:r>
          </w:p>
          <w:p w14:paraId="5D7F757C">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电  话：</w:t>
            </w:r>
          </w:p>
          <w:p w14:paraId="07473409">
            <w:pPr>
              <w:snapToGrid w:val="0"/>
              <w:spacing w:line="520" w:lineRule="exac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 xml:space="preserve">地  址： </w:t>
            </w:r>
          </w:p>
        </w:tc>
      </w:tr>
    </w:tbl>
    <w:p w14:paraId="6EFD68C4">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4FC41FA2">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4153ADD9">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5796ACA1">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28695E64">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18232307">
      <w:pPr>
        <w:pStyle w:val="5"/>
        <w:spacing w:before="120" w:beforeLines="50" w:line="480" w:lineRule="exact"/>
        <w:ind w:firstLine="480" w:firstLineChars="200"/>
        <w:rPr>
          <w:rFonts w:hint="eastAsia" w:asciiTheme="minorEastAsia" w:hAnsiTheme="minorEastAsia" w:eastAsiaTheme="minorEastAsia" w:cstheme="minorEastAsia"/>
          <w:color w:val="auto"/>
          <w:sz w:val="24"/>
          <w:szCs w:val="24"/>
          <w:highlight w:val="none"/>
        </w:rPr>
      </w:pPr>
    </w:p>
    <w:p w14:paraId="434E2640">
      <w:pPr>
        <w:rPr>
          <w:rFonts w:hint="eastAsia" w:asciiTheme="minorEastAsia" w:hAnsiTheme="minorEastAsia" w:eastAsiaTheme="minorEastAsia" w:cstheme="minorEastAsia"/>
          <w:color w:val="auto"/>
          <w:sz w:val="24"/>
          <w:szCs w:val="24"/>
          <w:highlight w:val="none"/>
        </w:rPr>
      </w:pPr>
      <w:bookmarkStart w:id="32" w:name="_Toc106718887"/>
      <w:bookmarkStart w:id="33" w:name="_Toc8992"/>
      <w:bookmarkStart w:id="34" w:name="_Toc14773"/>
      <w:r>
        <w:rPr>
          <w:rFonts w:hint="eastAsia" w:asciiTheme="minorEastAsia" w:hAnsiTheme="minorEastAsia" w:eastAsiaTheme="minorEastAsia" w:cstheme="minorEastAsia"/>
          <w:color w:val="auto"/>
          <w:sz w:val="24"/>
          <w:szCs w:val="24"/>
          <w:highlight w:val="none"/>
        </w:rPr>
        <w:br w:type="page"/>
      </w:r>
    </w:p>
    <w:p w14:paraId="3AA62231">
      <w:pPr>
        <w:pStyle w:val="11"/>
        <w:spacing w:before="0" w:after="0" w:line="360" w:lineRule="auto"/>
        <w:jc w:val="center"/>
        <w:rPr>
          <w:rFonts w:hint="eastAsia" w:asciiTheme="minorEastAsia" w:hAnsiTheme="minorEastAsia" w:eastAsiaTheme="minorEastAsia" w:cstheme="minorEastAsia"/>
          <w:color w:val="auto"/>
          <w:sz w:val="24"/>
          <w:szCs w:val="24"/>
          <w:highlight w:val="none"/>
        </w:rPr>
      </w:pPr>
      <w:bookmarkStart w:id="35" w:name="_Toc5687"/>
      <w:bookmarkStart w:id="36" w:name="_Toc6458"/>
      <w:bookmarkStart w:id="37" w:name="_Toc19901"/>
      <w:r>
        <w:rPr>
          <w:rFonts w:hint="eastAsia" w:asciiTheme="minorEastAsia" w:hAnsiTheme="minorEastAsia" w:eastAsiaTheme="minorEastAsia" w:cstheme="minorEastAsia"/>
          <w:color w:val="auto"/>
          <w:sz w:val="24"/>
          <w:szCs w:val="24"/>
          <w:highlight w:val="none"/>
        </w:rPr>
        <w:t>第二部分 合同条款</w:t>
      </w:r>
      <w:bookmarkEnd w:id="32"/>
      <w:bookmarkEnd w:id="33"/>
      <w:bookmarkEnd w:id="34"/>
      <w:bookmarkEnd w:id="35"/>
      <w:bookmarkEnd w:id="36"/>
      <w:bookmarkEnd w:id="37"/>
    </w:p>
    <w:p w14:paraId="1C3E07C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靖远煤业集团刘化化工有限公司（以下简称买方）与</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（以下简称卖方）就买方所需材料及服务，双方经协商同意按下列条款签订并执行本合同。</w:t>
      </w:r>
    </w:p>
    <w:p w14:paraId="34083E6E">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38" w:name="_Toc106718888"/>
      <w:bookmarkStart w:id="39" w:name="_Toc8969"/>
      <w:bookmarkStart w:id="40" w:name="_Toc13700"/>
      <w:bookmarkStart w:id="41" w:name="_Toc13067"/>
      <w:bookmarkStart w:id="42" w:name="_Toc9921"/>
      <w:bookmarkStart w:id="43" w:name="_Toc13810"/>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rPr>
        <w:t>合同内容</w:t>
      </w:r>
      <w:bookmarkEnd w:id="38"/>
      <w:bookmarkEnd w:id="39"/>
      <w:bookmarkEnd w:id="40"/>
      <w:bookmarkEnd w:id="41"/>
      <w:bookmarkEnd w:id="42"/>
      <w:bookmarkEnd w:id="43"/>
    </w:p>
    <w:p w14:paraId="0D4F475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卖方应根据供货要求、标的物质量标准的详细描述、质保期服务计划等合同文件的约定向买方提供合同约定的货物和质保期服务。</w:t>
      </w:r>
    </w:p>
    <w:p w14:paraId="580FB382">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44" w:name="_Toc11490"/>
      <w:bookmarkStart w:id="45" w:name="_Toc502647973"/>
      <w:bookmarkStart w:id="46" w:name="_Toc7282"/>
      <w:bookmarkStart w:id="47" w:name="_Toc14888"/>
      <w:bookmarkStart w:id="48" w:name="_Toc2508"/>
      <w:bookmarkStart w:id="49" w:name="_Toc106718889"/>
      <w:bookmarkStart w:id="50" w:name="_Toc26649"/>
      <w:bookmarkStart w:id="51" w:name="_Toc3024"/>
      <w:r>
        <w:rPr>
          <w:rFonts w:hint="eastAsia" w:asciiTheme="minorEastAsia" w:hAnsiTheme="minorEastAsia" w:eastAsiaTheme="minorEastAsia" w:cstheme="minorEastAsia"/>
          <w:b/>
          <w:bCs/>
          <w:color w:val="auto"/>
          <w:sz w:val="24"/>
          <w:szCs w:val="24"/>
          <w:highlight w:val="none"/>
        </w:rPr>
        <w:t>2</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包装、运输和交付</w:t>
      </w:r>
      <w:bookmarkEnd w:id="44"/>
      <w:bookmarkEnd w:id="45"/>
      <w:bookmarkEnd w:id="46"/>
      <w:bookmarkEnd w:id="47"/>
      <w:bookmarkEnd w:id="48"/>
      <w:bookmarkEnd w:id="49"/>
      <w:bookmarkEnd w:id="50"/>
      <w:bookmarkEnd w:id="51"/>
    </w:p>
    <w:p w14:paraId="45D13A4F">
      <w:pPr>
        <w:pStyle w:val="5"/>
        <w:spacing w:line="360" w:lineRule="auto"/>
        <w:ind w:firstLine="482" w:firstLineChars="200"/>
        <w:rPr>
          <w:rFonts w:hint="eastAsia" w:asciiTheme="minorEastAsia" w:hAnsiTheme="minorEastAsia" w:eastAsiaTheme="minorEastAsia" w:cstheme="minorEastAsia"/>
          <w:b/>
          <w:bCs/>
          <w:color w:val="auto"/>
          <w:sz w:val="24"/>
          <w:szCs w:val="24"/>
          <w:highlight w:val="none"/>
        </w:rPr>
      </w:pPr>
      <w:bookmarkStart w:id="52" w:name="_Toc502647974"/>
      <w:bookmarkStart w:id="53" w:name="_Toc8557"/>
      <w:r>
        <w:rPr>
          <w:rFonts w:hint="eastAsia" w:asciiTheme="minorEastAsia" w:hAnsiTheme="minorEastAsia" w:eastAsiaTheme="minorEastAsia" w:cstheme="minorEastAsia"/>
          <w:b/>
          <w:bCs/>
          <w:color w:val="auto"/>
          <w:sz w:val="24"/>
          <w:szCs w:val="24"/>
          <w:highlight w:val="none"/>
        </w:rPr>
        <w:t>2.1包装</w:t>
      </w:r>
      <w:bookmarkEnd w:id="52"/>
      <w:bookmarkEnd w:id="53"/>
    </w:p>
    <w:p w14:paraId="39C5C39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2.1.1卖方应对合同货物进行妥善包装，以满足合同货物运至买方指定地点。包装应采取防潮、防腐蚀及防止其它损坏的必要保护措施，从而保护合同货物能够经受多次搬运、装卸、长途运输并适宜保管。卖方包装物不予以回收。</w:t>
      </w:r>
    </w:p>
    <w:p w14:paraId="40141734">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2.1.2每个独立包装箱内应附装箱清单、质量合格证等资料。</w:t>
      </w:r>
    </w:p>
    <w:p w14:paraId="6E329056">
      <w:pPr>
        <w:pStyle w:val="5"/>
        <w:spacing w:line="360" w:lineRule="auto"/>
        <w:ind w:firstLine="482" w:firstLineChars="200"/>
        <w:rPr>
          <w:rFonts w:hint="eastAsia" w:asciiTheme="minorEastAsia" w:hAnsiTheme="minorEastAsia" w:eastAsiaTheme="minorEastAsia" w:cstheme="minorEastAsia"/>
          <w:b/>
          <w:bCs/>
          <w:color w:val="auto"/>
          <w:sz w:val="24"/>
          <w:szCs w:val="24"/>
          <w:highlight w:val="none"/>
        </w:rPr>
      </w:pPr>
      <w:bookmarkStart w:id="54" w:name="_Toc502647976"/>
      <w:bookmarkStart w:id="55" w:name="_Toc8235"/>
      <w:r>
        <w:rPr>
          <w:rFonts w:hint="eastAsia" w:asciiTheme="minorEastAsia" w:hAnsiTheme="minorEastAsia" w:eastAsiaTheme="minorEastAsia" w:cstheme="minorEastAsia"/>
          <w:b/>
          <w:bCs/>
          <w:color w:val="auto"/>
          <w:sz w:val="24"/>
          <w:szCs w:val="24"/>
          <w:highlight w:val="none"/>
        </w:rPr>
        <w:t>2.2运输</w:t>
      </w:r>
      <w:bookmarkEnd w:id="54"/>
      <w:bookmarkEnd w:id="55"/>
    </w:p>
    <w:p w14:paraId="434BEFE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2.2.1卖方应自行选择适宜的运输工具及线路安排合同货物运输。</w:t>
      </w:r>
    </w:p>
    <w:p w14:paraId="5C6A3A18">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2.2.2卖方应在合同货物预计启运</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日前，将合同货物名称、数量、箱数、装运合同货物总金额、运输方式、预计交付日期和合同货物在运输、装卸、保管中的注意事项等预通知买方，并在合同货物启运后 24 小时之内正式通知买方。</w:t>
      </w:r>
    </w:p>
    <w:p w14:paraId="3059F60C">
      <w:pPr>
        <w:pStyle w:val="5"/>
        <w:spacing w:line="360" w:lineRule="auto"/>
        <w:ind w:firstLine="482" w:firstLineChars="200"/>
        <w:rPr>
          <w:rFonts w:hint="eastAsia" w:asciiTheme="minorEastAsia" w:hAnsiTheme="minorEastAsia" w:eastAsiaTheme="minorEastAsia" w:cstheme="minorEastAsia"/>
          <w:b/>
          <w:bCs/>
          <w:color w:val="auto"/>
          <w:sz w:val="24"/>
          <w:szCs w:val="24"/>
          <w:highlight w:val="none"/>
        </w:rPr>
      </w:pPr>
      <w:bookmarkStart w:id="56" w:name="_Toc12101"/>
      <w:bookmarkStart w:id="57" w:name="_Toc502647977"/>
      <w:r>
        <w:rPr>
          <w:rFonts w:hint="eastAsia" w:asciiTheme="minorEastAsia" w:hAnsiTheme="minorEastAsia" w:eastAsiaTheme="minorEastAsia" w:cstheme="minorEastAsia"/>
          <w:b/>
          <w:bCs/>
          <w:color w:val="auto"/>
          <w:sz w:val="24"/>
          <w:szCs w:val="24"/>
          <w:highlight w:val="none"/>
        </w:rPr>
        <w:t>2.3交付</w:t>
      </w:r>
      <w:bookmarkEnd w:id="56"/>
      <w:bookmarkEnd w:id="57"/>
    </w:p>
    <w:p w14:paraId="3519EB96">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2.3.1卖方应在合同签订后的30个工作日内交货，并将合同货物交付给买方指定地点。买方对卖方交付的包装的合同货物的外观及件数进行清点核验后应签发收货清单。买方签发收货清单不代表对合同货物的接受，双方还应按合同约定进行后续的检验和验收。</w:t>
      </w:r>
    </w:p>
    <w:p w14:paraId="204E6F4D">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2.3.2合同货物的所有权和风险自交付时起由卖方转移至买方，合同货物交付给买方之前包括运输在内的所有风险均由卖方承担。</w:t>
      </w:r>
    </w:p>
    <w:p w14:paraId="10D65484">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58" w:name="_Toc18592"/>
      <w:bookmarkStart w:id="59" w:name="_Toc14584"/>
      <w:bookmarkStart w:id="60" w:name="_Toc23403"/>
      <w:bookmarkStart w:id="61" w:name="_Toc3331"/>
      <w:bookmarkStart w:id="62" w:name="_Toc30052"/>
      <w:bookmarkStart w:id="63" w:name="_Toc106718890"/>
      <w:r>
        <w:rPr>
          <w:rFonts w:hint="eastAsia" w:asciiTheme="minorEastAsia" w:hAnsiTheme="minorEastAsia" w:eastAsiaTheme="minorEastAsia" w:cstheme="minorEastAsia"/>
          <w:b/>
          <w:bCs/>
          <w:color w:val="auto"/>
          <w:sz w:val="24"/>
          <w:szCs w:val="24"/>
          <w:highlight w:val="none"/>
          <w:lang w:val="en-US" w:eastAsia="zh-CN"/>
        </w:rPr>
        <w:t>3.</w:t>
      </w:r>
      <w:r>
        <w:rPr>
          <w:rFonts w:hint="eastAsia" w:asciiTheme="minorEastAsia" w:hAnsiTheme="minorEastAsia" w:eastAsiaTheme="minorEastAsia" w:cstheme="minorEastAsia"/>
          <w:b/>
          <w:bCs/>
          <w:color w:val="auto"/>
          <w:sz w:val="24"/>
          <w:szCs w:val="24"/>
          <w:highlight w:val="none"/>
        </w:rPr>
        <w:t>价格与支付</w:t>
      </w:r>
      <w:bookmarkEnd w:id="58"/>
      <w:bookmarkEnd w:id="59"/>
      <w:bookmarkEnd w:id="60"/>
      <w:bookmarkEnd w:id="61"/>
      <w:bookmarkEnd w:id="62"/>
      <w:bookmarkEnd w:id="63"/>
    </w:p>
    <w:p w14:paraId="58A1A2B3">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3.1合同总价：人民币大写          整（ ¥     元 ）。现金或承兑，本合同金额包含货物价格、包装费、运输费、装卸费以及增值税等一切费用。若合同约定的货物有增减变化，合同价格可相应调整，除此之外，合同价格不作调整。</w:t>
      </w:r>
    </w:p>
    <w:p w14:paraId="767607F2">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3.2付款结算方法：</w:t>
      </w:r>
    </w:p>
    <w:p w14:paraId="371B369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先货后款，银行承兑分批次支付</w:t>
      </w:r>
      <w:r>
        <w:rPr>
          <w:rFonts w:hint="eastAsia" w:asciiTheme="minorEastAsia" w:hAnsiTheme="minorEastAsia" w:eastAsiaTheme="minorEastAsia" w:cstheme="minorEastAsia"/>
          <w:color w:val="auto"/>
          <w:sz w:val="24"/>
          <w:szCs w:val="24"/>
          <w:highlight w:val="none"/>
        </w:rPr>
        <w:t>。</w:t>
      </w:r>
    </w:p>
    <w:p w14:paraId="7041355B">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64" w:name="_Toc502647978"/>
      <w:bookmarkStart w:id="65" w:name="_Toc106718891"/>
      <w:bookmarkStart w:id="66" w:name="_Toc31448"/>
      <w:bookmarkStart w:id="67" w:name="_Toc3119"/>
      <w:bookmarkStart w:id="68" w:name="_Toc30441"/>
      <w:bookmarkStart w:id="69" w:name="_Toc22094"/>
      <w:bookmarkStart w:id="70" w:name="_Toc11001"/>
      <w:bookmarkStart w:id="71" w:name="_Toc2384"/>
      <w:r>
        <w:rPr>
          <w:rFonts w:hint="eastAsia" w:asciiTheme="minorEastAsia" w:hAnsiTheme="minorEastAsia" w:eastAsiaTheme="minorEastAsia" w:cstheme="minorEastAsia"/>
          <w:b/>
          <w:bCs/>
          <w:color w:val="auto"/>
          <w:sz w:val="24"/>
          <w:szCs w:val="24"/>
          <w:highlight w:val="none"/>
        </w:rPr>
        <w:t>4</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验收</w:t>
      </w:r>
      <w:bookmarkEnd w:id="64"/>
      <w:bookmarkEnd w:id="65"/>
      <w:bookmarkEnd w:id="66"/>
      <w:bookmarkEnd w:id="67"/>
      <w:bookmarkEnd w:id="68"/>
      <w:bookmarkEnd w:id="69"/>
      <w:bookmarkEnd w:id="70"/>
      <w:bookmarkEnd w:id="71"/>
    </w:p>
    <w:p w14:paraId="64AC9E60">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如合同货物在检验中达到检验指标，则买卖双方应签署合同货物验收单。验收日期应为合同货物达到检验指标的日期。合同货物验收不能免除卖方在质量保证期内对合同货物应承担的保证责任。</w:t>
      </w:r>
    </w:p>
    <w:p w14:paraId="6F4DDCB7">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72" w:name="_Toc32484"/>
      <w:bookmarkStart w:id="73" w:name="_Toc106718892"/>
      <w:bookmarkStart w:id="74" w:name="_Toc1279"/>
      <w:bookmarkStart w:id="75" w:name="_Toc6467"/>
      <w:bookmarkStart w:id="76" w:name="_Toc18942"/>
      <w:bookmarkStart w:id="77" w:name="_Toc12686"/>
      <w:r>
        <w:rPr>
          <w:rFonts w:hint="eastAsia" w:asciiTheme="minorEastAsia" w:hAnsiTheme="minorEastAsia" w:eastAsiaTheme="minorEastAsia" w:cstheme="minorEastAsia"/>
          <w:b/>
          <w:bCs/>
          <w:color w:val="auto"/>
          <w:sz w:val="24"/>
          <w:szCs w:val="24"/>
          <w:highlight w:val="none"/>
        </w:rPr>
        <w:t>5</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质量标准及保证期</w:t>
      </w:r>
      <w:bookmarkEnd w:id="72"/>
      <w:bookmarkEnd w:id="73"/>
      <w:bookmarkEnd w:id="74"/>
      <w:bookmarkEnd w:id="75"/>
      <w:bookmarkEnd w:id="76"/>
      <w:bookmarkEnd w:id="77"/>
    </w:p>
    <w:p w14:paraId="52C541F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5.1质量标准：满足国家的有关标准、法律法规以及年度的相关要求；按照国家现行质量标准执行并充分考虑当地环境条件和使用条件的影响。</w:t>
      </w:r>
    </w:p>
    <w:p w14:paraId="065CF7A3">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5.2质量保证期：一年质量保证期。在质量保证期内如果合同货物出现质量问题，卖方应免费提供质保期服务，对相关合同货物进行修理或更换。更换的合同货物的质量保证期应重新计算。</w:t>
      </w:r>
    </w:p>
    <w:p w14:paraId="64844F0A">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78" w:name="_Toc6832"/>
      <w:bookmarkStart w:id="79" w:name="_Toc32558"/>
      <w:bookmarkStart w:id="80" w:name="_Toc21872"/>
      <w:bookmarkStart w:id="81" w:name="_Toc4479"/>
      <w:bookmarkStart w:id="82" w:name="_Toc11906"/>
      <w:bookmarkStart w:id="83" w:name="_Toc502647987"/>
      <w:bookmarkStart w:id="84" w:name="_Toc31093"/>
      <w:bookmarkStart w:id="85" w:name="_Toc106718893"/>
      <w:r>
        <w:rPr>
          <w:rFonts w:hint="eastAsia" w:asciiTheme="minorEastAsia" w:hAnsiTheme="minorEastAsia" w:eastAsiaTheme="minorEastAsia" w:cstheme="minorEastAsia"/>
          <w:b/>
          <w:bCs/>
          <w:color w:val="auto"/>
          <w:sz w:val="24"/>
          <w:szCs w:val="24"/>
          <w:highlight w:val="none"/>
        </w:rPr>
        <w:t>6</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保证</w:t>
      </w:r>
      <w:bookmarkEnd w:id="78"/>
      <w:bookmarkEnd w:id="79"/>
      <w:bookmarkEnd w:id="80"/>
      <w:bookmarkEnd w:id="81"/>
      <w:bookmarkEnd w:id="82"/>
      <w:bookmarkEnd w:id="83"/>
      <w:bookmarkEnd w:id="84"/>
      <w:bookmarkEnd w:id="85"/>
    </w:p>
    <w:p w14:paraId="60609FAE">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6.1卖方保证其具有完全的能力履行本合同项下的全部义务。</w:t>
      </w:r>
    </w:p>
    <w:p w14:paraId="0009A43E">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6.2卖方保证其所提供的合同货物及对合同的履行符合所有应适用的法律、行政法规、地方性法规、自治条例和单行条例、规章及其他规范性文件的强制性规定。</w:t>
      </w:r>
    </w:p>
    <w:p w14:paraId="59C90A92">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6.3卖方保证其对合同货物的销售不损害任何第三方的合法权益和社会公众利益。任何第三方不会因卖方原因而基于所有权、抵押权、留置权或其他任何权利或事由对合同货物主张权利。</w:t>
      </w:r>
    </w:p>
    <w:p w14:paraId="60BFEB6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6.4卖方保证合同货物符合合同约定的供货要求供货且合同货物全新、完整、未使用过。</w:t>
      </w:r>
    </w:p>
    <w:p w14:paraId="432CE538">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86" w:name="_Toc28984"/>
      <w:bookmarkStart w:id="87" w:name="_Toc1159"/>
      <w:bookmarkStart w:id="88" w:name="_Toc106718896"/>
      <w:bookmarkStart w:id="89" w:name="_Toc7250"/>
      <w:bookmarkStart w:id="90" w:name="_Toc7803"/>
      <w:bookmarkStart w:id="91" w:name="_Toc14958"/>
      <w:bookmarkStart w:id="92" w:name="_Toc502647990"/>
      <w:bookmarkStart w:id="93" w:name="_Toc13463"/>
      <w:r>
        <w:rPr>
          <w:rFonts w:hint="eastAsia" w:asciiTheme="minorEastAsia" w:hAnsiTheme="minorEastAsia" w:eastAsiaTheme="minorEastAsia" w:cstheme="minorEastAsia"/>
          <w:b/>
          <w:bCs/>
          <w:color w:val="auto"/>
          <w:sz w:val="24"/>
          <w:szCs w:val="24"/>
          <w:highlight w:val="none"/>
          <w:lang w:val="en-US" w:eastAsia="zh-CN"/>
        </w:rPr>
        <w:t>7.</w:t>
      </w:r>
      <w:r>
        <w:rPr>
          <w:rFonts w:hint="eastAsia" w:asciiTheme="minorEastAsia" w:hAnsiTheme="minorEastAsia" w:eastAsiaTheme="minorEastAsia" w:cstheme="minorEastAsia"/>
          <w:b/>
          <w:bCs/>
          <w:color w:val="auto"/>
          <w:sz w:val="24"/>
          <w:szCs w:val="24"/>
          <w:highlight w:val="none"/>
        </w:rPr>
        <w:t>违约责任</w:t>
      </w:r>
      <w:bookmarkEnd w:id="86"/>
      <w:bookmarkEnd w:id="87"/>
      <w:bookmarkEnd w:id="88"/>
      <w:bookmarkEnd w:id="89"/>
      <w:bookmarkEnd w:id="90"/>
      <w:bookmarkEnd w:id="91"/>
      <w:bookmarkEnd w:id="92"/>
      <w:bookmarkEnd w:id="93"/>
    </w:p>
    <w:p w14:paraId="02CD0032">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.1合同一方不履行合同义务、履行合同义务不符合约定或者违反合同项下所作保证的，应向对方承担继续履行、采取修理、更换、退货等补救措施或者赔偿损失等违约责任。</w:t>
      </w:r>
    </w:p>
    <w:p w14:paraId="154AF9A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.2卖方未能按时交付合同货物的，应向买方支付迟延交付违约金。迟延交付违约金的计算方法如下：</w:t>
      </w:r>
    </w:p>
    <w:p w14:paraId="2A587E20">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(1)迟交一周，延迟交付违约金为合同货物价款的0.5%；</w:t>
      </w:r>
    </w:p>
    <w:p w14:paraId="0417B301">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(2)迟交二周，延迟交付违约金为合同货物价款的1%；</w:t>
      </w:r>
    </w:p>
    <w:p w14:paraId="3DE897D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(3)迟交三周，延迟交付违约金为合同货物价款的1.5%。</w:t>
      </w:r>
    </w:p>
    <w:p w14:paraId="765D5889">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在计算迟延交付违约金时，迟交不足一周的按一周计算。迟延交付违约金的总额不得超过合同价格的10%。</w:t>
      </w:r>
    </w:p>
    <w:p w14:paraId="1A10700D">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.3迟延交付违约金的支付不能免除卖方继续交付相关合同货物的义务。</w:t>
      </w:r>
    </w:p>
    <w:p w14:paraId="2CFE0F18">
      <w:pPr>
        <w:pStyle w:val="5"/>
        <w:spacing w:line="360" w:lineRule="auto"/>
        <w:ind w:firstLine="482" w:firstLineChars="200"/>
        <w:outlineLvl w:val="1"/>
        <w:rPr>
          <w:rFonts w:hint="eastAsia" w:asciiTheme="minorEastAsia" w:hAnsiTheme="minorEastAsia" w:eastAsiaTheme="minorEastAsia" w:cstheme="minorEastAsia"/>
          <w:b/>
          <w:color w:val="auto"/>
          <w:sz w:val="24"/>
          <w:szCs w:val="24"/>
          <w:highlight w:val="none"/>
        </w:rPr>
      </w:pPr>
      <w:bookmarkStart w:id="94" w:name="_Toc30694"/>
      <w:bookmarkStart w:id="95" w:name="_Toc32265"/>
      <w:bookmarkStart w:id="96" w:name="_Toc20841"/>
      <w:bookmarkStart w:id="97" w:name="_Toc14124"/>
      <w:bookmarkStart w:id="98" w:name="_Toc5012"/>
      <w:bookmarkStart w:id="99" w:name="_Toc19222"/>
      <w:bookmarkStart w:id="100" w:name="_Toc502647991"/>
      <w:bookmarkStart w:id="101" w:name="_Toc106718897"/>
      <w:r>
        <w:rPr>
          <w:rFonts w:hint="eastAsia" w:asciiTheme="minorEastAsia" w:hAnsiTheme="minorEastAsia" w:eastAsiaTheme="minorEastAsia" w:cstheme="minorEastAsia"/>
          <w:b/>
          <w:color w:val="auto"/>
          <w:sz w:val="24"/>
          <w:szCs w:val="24"/>
          <w:highlight w:val="none"/>
          <w:lang w:val="en-US" w:eastAsia="zh-CN"/>
        </w:rPr>
        <w:t>8.</w:t>
      </w:r>
      <w:r>
        <w:rPr>
          <w:rFonts w:hint="eastAsia" w:asciiTheme="minorEastAsia" w:hAnsiTheme="minorEastAsia" w:eastAsiaTheme="minorEastAsia" w:cstheme="minorEastAsia"/>
          <w:b/>
          <w:color w:val="auto"/>
          <w:sz w:val="24"/>
          <w:szCs w:val="24"/>
          <w:highlight w:val="none"/>
        </w:rPr>
        <w:t>合同的解除</w:t>
      </w:r>
      <w:bookmarkEnd w:id="94"/>
      <w:bookmarkEnd w:id="95"/>
      <w:bookmarkEnd w:id="96"/>
      <w:bookmarkEnd w:id="97"/>
      <w:bookmarkEnd w:id="98"/>
      <w:bookmarkEnd w:id="99"/>
      <w:bookmarkEnd w:id="100"/>
      <w:bookmarkEnd w:id="101"/>
    </w:p>
    <w:p w14:paraId="284E03E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有下述情形之一，当事人可发出书面通知全部或部分地解除合同，合同自通知到达对方时全部或部分地解除：</w:t>
      </w:r>
    </w:p>
    <w:p w14:paraId="06023CF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（1）卖方迟延交付合同货物超过2个月且未能积极组织货源；</w:t>
      </w:r>
    </w:p>
    <w:p w14:paraId="351EB8FF">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（2）合同一方当事人未能履行合同项下任何其它义务（细微义务除外），或在未事先征得另一方当事人同意的情况下，从事任何可能在实质上不利影响其履行合同能力的活动，经另一方当事人书面通知后 14 日内未能对其行为作出补救；</w:t>
      </w:r>
    </w:p>
    <w:p w14:paraId="13A57848">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（3）合同一方当事人出现破产、清算、资不抵债、成为失信被执行人等可能丧失履约能力的情形。</w:t>
      </w:r>
    </w:p>
    <w:p w14:paraId="4EFFC3D4">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102" w:name="page65"/>
      <w:bookmarkEnd w:id="102"/>
      <w:bookmarkStart w:id="103" w:name="_Toc26698"/>
      <w:bookmarkStart w:id="104" w:name="_Toc106718898"/>
      <w:bookmarkStart w:id="105" w:name="_Toc28442"/>
      <w:bookmarkStart w:id="106" w:name="_Toc28784"/>
      <w:bookmarkStart w:id="107" w:name="_Toc502647992"/>
      <w:bookmarkStart w:id="108" w:name="_Toc22039"/>
      <w:bookmarkStart w:id="109" w:name="_Toc11820"/>
      <w:bookmarkStart w:id="110" w:name="_Toc21094"/>
      <w:r>
        <w:rPr>
          <w:rFonts w:hint="eastAsia" w:asciiTheme="minorEastAsia" w:hAnsiTheme="minorEastAsia" w:eastAsiaTheme="minorEastAsia" w:cstheme="minorEastAsia"/>
          <w:b/>
          <w:bCs/>
          <w:color w:val="auto"/>
          <w:sz w:val="24"/>
          <w:szCs w:val="24"/>
          <w:highlight w:val="none"/>
          <w:lang w:val="en-US" w:eastAsia="zh-CN"/>
        </w:rPr>
        <w:t>9.</w:t>
      </w:r>
      <w:r>
        <w:rPr>
          <w:rFonts w:hint="eastAsia" w:asciiTheme="minorEastAsia" w:hAnsiTheme="minorEastAsia" w:eastAsiaTheme="minorEastAsia" w:cstheme="minorEastAsia"/>
          <w:b/>
          <w:bCs/>
          <w:color w:val="auto"/>
          <w:sz w:val="24"/>
          <w:szCs w:val="24"/>
          <w:highlight w:val="none"/>
        </w:rPr>
        <w:t>不可抗力</w:t>
      </w:r>
      <w:bookmarkEnd w:id="103"/>
      <w:bookmarkEnd w:id="104"/>
      <w:bookmarkEnd w:id="105"/>
      <w:bookmarkEnd w:id="106"/>
      <w:bookmarkEnd w:id="107"/>
      <w:bookmarkEnd w:id="108"/>
      <w:bookmarkEnd w:id="109"/>
      <w:bookmarkEnd w:id="110"/>
    </w:p>
    <w:p w14:paraId="6CCBA69C">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1如果任何一方当事人受到不能预见、不能避免且不能克服的不可抗力事件的影响，例如战争、严重的火灾、台风、地震、洪水、疫情等其他情形，而无法履行合同项下的任何义务，则受影响的一方当事人应立即将此类事件的发生通知另一方当事人，并应在不可抗力事件发生后 28 日内将有关当局或机构出具的证明文件提交给另一方当事人。</w:t>
      </w:r>
    </w:p>
    <w:p w14:paraId="2EBD7485">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.2受不可抗力事件影响的一方当事人对于不可抗力事件导致的任何合同义务的迟延履行或不能履行不承担违约责任。但该方当事人应尽快将不可抗力事件结束或消除的情况通知另一方当事人。</w:t>
      </w:r>
    </w:p>
    <w:p w14:paraId="34EBC34B">
      <w:pPr>
        <w:pStyle w:val="5"/>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eastAsiaTheme="minorEastAsia" w:cstheme="minorEastAsia"/>
          <w:color w:val="auto"/>
          <w:sz w:val="24"/>
          <w:szCs w:val="24"/>
          <w:highlight w:val="none"/>
        </w:rPr>
        <w:t>.3双方当事人应在不可抗力事件结束或其影响消除后立即继续履行其合同义务，合同期限也应相应顺延。若因不可抗力事件的影响持续超过 140 日，则任何一方当事人均有权以书面通知解除合同。</w:t>
      </w:r>
    </w:p>
    <w:p w14:paraId="364E1D7F">
      <w:pPr>
        <w:pStyle w:val="5"/>
        <w:spacing w:line="360" w:lineRule="auto"/>
        <w:ind w:firstLine="482" w:firstLineChars="200"/>
        <w:outlineLvl w:val="1"/>
        <w:rPr>
          <w:rFonts w:hint="eastAsia" w:asciiTheme="minorEastAsia" w:hAnsiTheme="minorEastAsia" w:eastAsiaTheme="minorEastAsia" w:cstheme="minorEastAsia"/>
          <w:b/>
          <w:bCs/>
          <w:color w:val="auto"/>
          <w:sz w:val="24"/>
          <w:szCs w:val="24"/>
          <w:highlight w:val="none"/>
        </w:rPr>
      </w:pPr>
      <w:bookmarkStart w:id="111" w:name="_Toc106718899"/>
      <w:bookmarkStart w:id="112" w:name="_Toc32141"/>
      <w:bookmarkStart w:id="113" w:name="_Toc12770"/>
      <w:bookmarkStart w:id="114" w:name="_Toc19645"/>
      <w:bookmarkStart w:id="115" w:name="_Toc13072"/>
      <w:bookmarkStart w:id="116" w:name="_Toc12566"/>
      <w:bookmarkStart w:id="117" w:name="_Toc19180"/>
      <w:bookmarkStart w:id="118" w:name="_Toc502647993"/>
      <w:r>
        <w:rPr>
          <w:rFonts w:hint="eastAsia" w:asciiTheme="minorEastAsia" w:hAnsiTheme="minorEastAsia" w:eastAsiaTheme="minorEastAsia" w:cstheme="minorEastAsia"/>
          <w:b/>
          <w:bCs/>
          <w:color w:val="auto"/>
          <w:sz w:val="24"/>
          <w:szCs w:val="24"/>
          <w:highlight w:val="none"/>
        </w:rPr>
        <w:t>1</w:t>
      </w:r>
      <w:r>
        <w:rPr>
          <w:rFonts w:hint="eastAsia" w:asciiTheme="minorEastAsia" w:hAnsiTheme="minorEastAsia" w:eastAsiaTheme="minorEastAsia" w:cstheme="minorEastAsia"/>
          <w:b/>
          <w:bCs/>
          <w:color w:val="auto"/>
          <w:sz w:val="24"/>
          <w:szCs w:val="24"/>
          <w:highlight w:val="none"/>
          <w:lang w:val="en-US" w:eastAsia="zh-CN"/>
        </w:rPr>
        <w:t>0.</w:t>
      </w:r>
      <w:r>
        <w:rPr>
          <w:rFonts w:hint="eastAsia" w:asciiTheme="minorEastAsia" w:hAnsiTheme="minorEastAsia" w:eastAsiaTheme="minorEastAsia" w:cstheme="minorEastAsia"/>
          <w:b/>
          <w:bCs/>
          <w:color w:val="auto"/>
          <w:sz w:val="24"/>
          <w:szCs w:val="24"/>
          <w:highlight w:val="none"/>
        </w:rPr>
        <w:t>争议的解决</w:t>
      </w:r>
      <w:bookmarkEnd w:id="111"/>
      <w:bookmarkEnd w:id="112"/>
      <w:bookmarkEnd w:id="113"/>
      <w:bookmarkEnd w:id="114"/>
      <w:bookmarkEnd w:id="115"/>
      <w:bookmarkEnd w:id="116"/>
      <w:bookmarkEnd w:id="117"/>
      <w:bookmarkEnd w:id="118"/>
    </w:p>
    <w:p w14:paraId="75DC8366">
      <w:pPr>
        <w:pStyle w:val="5"/>
        <w:keepNext w:val="0"/>
        <w:keepLines w:val="0"/>
        <w:pageBreakBefore w:val="0"/>
        <w:kinsoku/>
        <w:wordWrap/>
        <w:overflowPunct/>
        <w:topLinePunct w:val="0"/>
        <w:autoSpaceDE/>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因执行本合同发生的一切争议，由双方协商解决，协商不成，向买方所在地有管辖权人民法院起诉。</w:t>
      </w:r>
    </w:p>
    <w:p w14:paraId="6B8B700A">
      <w:bookmarkStart w:id="119" w:name="_GoBack"/>
      <w:bookmarkEnd w:id="1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3E6585"/>
    <w:rsid w:val="663E6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unhideWhenUsed/>
    <w:qFormat/>
    <w:uiPriority w:val="99"/>
    <w:pPr>
      <w:widowControl w:val="0"/>
      <w:spacing w:before="100" w:beforeAutospacing="1" w:after="120"/>
      <w:jc w:val="both"/>
    </w:pPr>
    <w:rPr>
      <w:rFonts w:ascii="Calibri" w:hAnsi="Calibri" w:eastAsia="宋体" w:cs="Calibri"/>
      <w:kern w:val="2"/>
      <w:sz w:val="21"/>
      <w:szCs w:val="24"/>
      <w:lang w:val="en-US" w:eastAsia="zh-CN" w:bidi="ar-SA"/>
    </w:rPr>
  </w:style>
  <w:style w:type="paragraph" w:styleId="3">
    <w:name w:val="toc 7"/>
    <w:next w:val="1"/>
    <w:unhideWhenUsed/>
    <w:qFormat/>
    <w:uiPriority w:val="39"/>
    <w:pPr>
      <w:widowControl w:val="0"/>
      <w:ind w:left="2520" w:leftChars="1200"/>
      <w:jc w:val="both"/>
    </w:pPr>
    <w:rPr>
      <w:rFonts w:asciiTheme="minorHAnsi" w:hAnsiTheme="minorHAnsi" w:eastAsiaTheme="minorEastAsia" w:cstheme="minorBidi"/>
      <w:kern w:val="2"/>
      <w:sz w:val="21"/>
      <w:szCs w:val="22"/>
      <w:lang w:val="en-US" w:eastAsia="zh-CN" w:bidi="ar-SA"/>
    </w:rPr>
  </w:style>
  <w:style w:type="paragraph" w:styleId="4">
    <w:name w:val="Body Text Indent"/>
    <w:next w:val="3"/>
    <w:qFormat/>
    <w:uiPriority w:val="0"/>
    <w:pPr>
      <w:widowControl w:val="0"/>
      <w:ind w:firstLine="444"/>
      <w:jc w:val="both"/>
    </w:pPr>
    <w:rPr>
      <w:rFonts w:ascii="Times New Roman" w:hAnsi="Times New Roman" w:eastAsia="宋体" w:cs="Times New Roman"/>
      <w:b/>
      <w:kern w:val="2"/>
      <w:sz w:val="21"/>
      <w:szCs w:val="24"/>
      <w:lang w:val="en-US" w:eastAsia="zh-CN" w:bidi="ar-SA"/>
    </w:rPr>
  </w:style>
  <w:style w:type="paragraph" w:styleId="5">
    <w:name w:val="Plain Text"/>
    <w:qFormat/>
    <w:uiPriority w:val="0"/>
    <w:pPr>
      <w:widowControl w:val="0"/>
      <w:jc w:val="both"/>
    </w:pPr>
    <w:rPr>
      <w:rFonts w:ascii="宋体" w:hAnsi="宋体" w:eastAsia="宋体" w:cs="Times New Roman"/>
      <w:kern w:val="2"/>
      <w:sz w:val="21"/>
      <w:szCs w:val="22"/>
      <w:lang w:val="en-US" w:eastAsia="zh-CN" w:bidi="ar-SA"/>
    </w:rPr>
  </w:style>
  <w:style w:type="paragraph" w:styleId="6">
    <w:name w:val="Body Text First Indent 2"/>
    <w:next w:val="1"/>
    <w:qFormat/>
    <w:uiPriority w:val="0"/>
    <w:pPr>
      <w:widowControl w:val="0"/>
      <w:ind w:firstLine="210" w:firstLineChars="200"/>
      <w:jc w:val="both"/>
    </w:pPr>
    <w:rPr>
      <w:rFonts w:ascii="Times New Roman" w:hAnsi="Times New Roman" w:eastAsia="宋体" w:cs="Times New Roman"/>
      <w:b/>
      <w:kern w:val="2"/>
      <w:sz w:val="28"/>
      <w:szCs w:val="24"/>
      <w:lang w:val="en-US" w:eastAsia="zh-CN" w:bidi="ar-SA"/>
    </w:rPr>
  </w:style>
  <w:style w:type="paragraph" w:customStyle="1" w:styleId="9">
    <w:name w:val="标题 11"/>
    <w:next w:val="10"/>
    <w:autoRedefine/>
    <w:qFormat/>
    <w:uiPriority w:val="0"/>
    <w:pPr>
      <w:keepNext/>
      <w:keepLines/>
      <w:widowControl w:val="0"/>
      <w:spacing w:before="340" w:after="330" w:line="576" w:lineRule="auto"/>
      <w:jc w:val="both"/>
      <w:outlineLvl w:val="0"/>
    </w:pPr>
    <w:rPr>
      <w:rFonts w:ascii="Times New Roman" w:hAnsi="Times New Roman" w:eastAsia="宋体" w:cs="Times New Roman"/>
      <w:b/>
      <w:kern w:val="2"/>
      <w:sz w:val="44"/>
      <w:szCs w:val="20"/>
      <w:lang w:val="en-US" w:eastAsia="zh-CN" w:bidi="ar-SA"/>
    </w:rPr>
  </w:style>
  <w:style w:type="paragraph" w:customStyle="1" w:styleId="10">
    <w:name w:val="正文11"/>
    <w:next w:val="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标题 21"/>
    <w:next w:val="10"/>
    <w:autoRedefine/>
    <w:qFormat/>
    <w:uiPriority w:val="0"/>
    <w:pPr>
      <w:keepNext/>
      <w:keepLines/>
      <w:widowControl w:val="0"/>
      <w:spacing w:before="260" w:after="260" w:line="408" w:lineRule="auto"/>
      <w:jc w:val="both"/>
      <w:outlineLvl w:val="1"/>
    </w:pPr>
    <w:rPr>
      <w:rFonts w:ascii="Arial" w:hAnsi="Arial" w:eastAsia="黑体" w:cs="Times New Roman"/>
      <w:b/>
      <w:kern w:val="2"/>
      <w:sz w:val="32"/>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2026-06-22T03:30:00Z</dcterms:created>
  <dc:creator>刘天鹏</dc:creator>
  <cp:lastModifiedBy>刘天鹏</cp:lastModifiedBy>
  <dcterms:modified xsi:type="dcterms:W3CDTF">2026-06-22T03:30:53Z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9C7BF44D04394E0D8D5FDF027405A599_11</vt:lpwstr>
  </property>
  <property fmtid="{D5CDD505-2E9C-101B-9397-08002B2CF9AE}" pid="4" name="KSOTemplateDocerSaveRecord">
    <vt:lpwstr>eyJoZGlkIjoiZmVmMTEwNjA4YjYxMjM0ODEzODkzMjE5NDEyMzgyODEiLCJ1c2VySWQiOiI0NDE4MDAwMTIifQ==</vt:lpwstr>
  </property>
</Properties>
</file>