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82EAE">
      <w:pPr>
        <w:spacing w:line="360" w:lineRule="auto"/>
        <w:jc w:val="center"/>
        <w:rPr>
          <w:rFonts w:hint="default" w:ascii="宋体" w:hAnsi="宋体" w:cs="Arial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Arial"/>
          <w:b/>
          <w:sz w:val="36"/>
          <w:szCs w:val="36"/>
          <w:highlight w:val="none"/>
          <w:lang w:val="en-US" w:eastAsia="zh-CN"/>
        </w:rPr>
        <w:t>白银银河机械制造有限公司液压支架</w:t>
      </w:r>
    </w:p>
    <w:p w14:paraId="2A2AFBA6">
      <w:pPr>
        <w:pStyle w:val="12"/>
        <w:jc w:val="center"/>
        <w:outlineLvl w:val="9"/>
        <w:rPr>
          <w:rFonts w:hint="default" w:ascii="宋体" w:hAnsi="宋体" w:eastAsia="宋体" w:cs="Arial"/>
          <w:b/>
          <w:kern w:val="2"/>
          <w:sz w:val="36"/>
          <w:szCs w:val="36"/>
          <w:highlight w:val="none"/>
          <w:lang w:val="en-US" w:eastAsia="zh-CN" w:bidi="ar-SA"/>
        </w:rPr>
      </w:pPr>
      <w:bookmarkStart w:id="0" w:name="_Toc13494897"/>
      <w:bookmarkStart w:id="1" w:name="_Hlk13489989"/>
      <w:bookmarkStart w:id="2" w:name="_Toc56416087"/>
      <w:bookmarkStart w:id="3" w:name="_Toc505676297"/>
      <w:r>
        <w:rPr>
          <w:rFonts w:hint="eastAsia" w:ascii="宋体" w:hAnsi="宋体" w:eastAsia="宋体" w:cs="Arial"/>
          <w:b/>
          <w:kern w:val="2"/>
          <w:sz w:val="36"/>
          <w:szCs w:val="36"/>
          <w:highlight w:val="none"/>
          <w:lang w:val="en-US" w:eastAsia="zh-CN" w:bidi="ar-SA"/>
        </w:rPr>
        <w:t>新加工千斤技术要求</w:t>
      </w:r>
    </w:p>
    <w:p w14:paraId="69B9C89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设备型号：</w:t>
      </w:r>
    </w:p>
    <w:p w14:paraId="34FCB2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right="0" w:firstLine="720" w:firstLineChars="300"/>
        <w:textAlignment w:val="auto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端头支架</w:t>
      </w:r>
      <w:r>
        <w:rPr>
          <w:rFonts w:hint="eastAsia" w:ascii="宋体" w:hAnsi="宋体" w:cs="宋体"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Z</w:t>
      </w:r>
      <w:r>
        <w:rPr>
          <w:rFonts w:hint="eastAsia" w:ascii="宋体" w:hAnsi="宋体" w:cs="宋体"/>
          <w:kern w:val="0"/>
          <w:sz w:val="24"/>
          <w:lang w:eastAsia="zh-CN"/>
        </w:rPr>
        <w:t>FT1</w:t>
      </w:r>
      <w:r>
        <w:rPr>
          <w:rFonts w:hint="eastAsia" w:ascii="宋体" w:hAnsi="宋体" w:cs="宋体"/>
          <w:kern w:val="0"/>
          <w:sz w:val="24"/>
          <w:lang w:val="en-US" w:eastAsia="zh-CN"/>
        </w:rPr>
        <w:t>4000</w:t>
      </w:r>
      <w:r>
        <w:rPr>
          <w:rFonts w:hint="eastAsia" w:ascii="宋体" w:hAnsi="宋体" w:cs="宋体"/>
          <w:kern w:val="0"/>
          <w:sz w:val="24"/>
          <w:lang w:eastAsia="zh-CN"/>
        </w:rPr>
        <w:t>/2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/3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5D     </w:t>
      </w:r>
    </w:p>
    <w:p w14:paraId="235F5F6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、设备运行环境条件</w:t>
      </w:r>
    </w:p>
    <w:p w14:paraId="37466A1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1、安装地点：           煤矿井下</w:t>
      </w:r>
    </w:p>
    <w:p w14:paraId="5A844F9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2、海拔高度：           +950m—+1400m水平</w:t>
      </w:r>
    </w:p>
    <w:p w14:paraId="3147886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3、环境温度：           2℃～+35℃</w:t>
      </w:r>
    </w:p>
    <w:p w14:paraId="7304E8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4、地震烈度:            地震烈度Ⅶ度</w:t>
      </w:r>
    </w:p>
    <w:p w14:paraId="02BDA1B2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5、湿度：               95%(+25℃)</w:t>
      </w:r>
      <w:bookmarkStart w:id="10" w:name="_GoBack"/>
      <w:bookmarkEnd w:id="10"/>
    </w:p>
    <w:p w14:paraId="5B79086C">
      <w:pPr>
        <w:spacing w:line="360" w:lineRule="auto"/>
        <w:ind w:firstLine="47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6、瓦斯等级:          低瓦斯矿井，具有煤尘及瓦斯爆炸危险的巷道内。</w:t>
      </w:r>
    </w:p>
    <w:p w14:paraId="1594624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、依据标准：</w:t>
      </w:r>
    </w:p>
    <w:p w14:paraId="0E957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bookmarkStart w:id="4" w:name="_Toc468354387"/>
      <w:bookmarkStart w:id="5" w:name="_Toc468354189"/>
      <w:bookmarkStart w:id="6" w:name="_Toc468354263"/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《煤矿用液压支架第1部分：通用技术条件》</w:t>
      </w:r>
    </w:p>
    <w:p w14:paraId="1CD0347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《煤矿用液压支架第2部分：立柱、千斤顶技术条件》</w:t>
      </w:r>
    </w:p>
    <w:p w14:paraId="20EC544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25974.1-2010《煤矿用液压支架第3部分：液压控制系统及阀技术条件》</w:t>
      </w:r>
    </w:p>
    <w:p w14:paraId="0EE529C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552-1996 《端头液压支架技术条件》</w:t>
      </w:r>
    </w:p>
    <w:p w14:paraId="486F0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94-1996  《液压支架立柱、千斤顶内径及活塞杆外径系列》</w:t>
      </w:r>
    </w:p>
    <w:p w14:paraId="237EECDE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97-1992     《液压支架千斤顶技术条件》</w:t>
      </w:r>
    </w:p>
    <w:p w14:paraId="533B72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98-2006  《液压支架用软管及软管总成检验规范》</w:t>
      </w:r>
    </w:p>
    <w:p w14:paraId="2DD6E9A4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MT986-2006      《矿用U形销式快速接头及附件》</w:t>
      </w:r>
    </w:p>
    <w:p w14:paraId="10E6BA9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MT985-2006      《立柱、千斤顶密封圈技术条件》</w:t>
      </w:r>
    </w:p>
    <w:p w14:paraId="2913913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MT827-2005      《煤矿机械液压系统通用技术条件》</w:t>
      </w:r>
    </w:p>
    <w:p w14:paraId="71B5137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587-2011  《液压支架结构件制造技术条件》</w:t>
      </w:r>
    </w:p>
    <w:p w14:paraId="6B8EE8E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419-1995     《阀的压力、流量参数及连接型式、尺寸》</w:t>
      </w:r>
    </w:p>
    <w:p w14:paraId="26551E3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2025版《煤矿安全规程》</w:t>
      </w:r>
    </w:p>
    <w:p w14:paraId="2C01D4D1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GB12361-1990 《钢质模锻件通用技术条件》</w:t>
      </w:r>
    </w:p>
    <w:p w14:paraId="0D79E18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MT76-1983 《液压支架用乳化油》</w:t>
      </w:r>
    </w:p>
    <w:p w14:paraId="0DA2785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MT/T94-1996《液压支架立柱、千斤顶内径及活塞杆外径系列》</w:t>
      </w:r>
    </w:p>
    <w:p w14:paraId="68AFB268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MT98-1984《液压支架胶管总成及中间接头组件型式试验规范》</w:t>
      </w:r>
    </w:p>
    <w:p w14:paraId="573AD7E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MT/T587-1996《液压支架结构件制造技术条件》</w:t>
      </w:r>
    </w:p>
    <w:p w14:paraId="402A2D1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MT/556-1996《液压支架设计规范》</w:t>
      </w:r>
    </w:p>
    <w:bookmarkEnd w:id="4"/>
    <w:bookmarkEnd w:id="5"/>
    <w:bookmarkEnd w:id="6"/>
    <w:p w14:paraId="05753BF1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7" w:name="_Toc468354265"/>
      <w:bookmarkStart w:id="8" w:name="_Toc468354191"/>
      <w:bookmarkStart w:id="9" w:name="_Toc468354389"/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要求：</w:t>
      </w:r>
      <w:bookmarkEnd w:id="7"/>
      <w:bookmarkEnd w:id="8"/>
      <w:bookmarkEnd w:id="9"/>
    </w:p>
    <w:p w14:paraId="01A9F8A8">
      <w:pPr>
        <w:numPr>
          <w:ilvl w:val="0"/>
          <w:numId w:val="2"/>
        </w:numPr>
        <w:spacing w:line="360" w:lineRule="auto"/>
        <w:ind w:firstLine="474" w:firstLineChars="200"/>
        <w:rPr>
          <w:rFonts w:hint="eastAsia" w:ascii="宋体" w:hAnsi="宋体" w:eastAsia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>防腐处理要求</w:t>
      </w:r>
    </w:p>
    <w:p w14:paraId="69842A35">
      <w:pPr>
        <w:spacing w:line="360" w:lineRule="auto"/>
        <w:ind w:firstLine="472" w:firstLineChars="200"/>
        <w:rPr>
          <w:rFonts w:hint="default"/>
          <w:lang w:val="en-US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(1)活塞杆采用</w:t>
      </w: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激光熔覆工艺进行防腐耐磨处理，熔覆层需与基体结合牢固，无起皮、脱落、裂纹等缺陷；熔覆层厚度需根据承载需求控制在合理范围，确保具备良好的防腐、耐磨性能。</w:t>
      </w:r>
    </w:p>
    <w:p w14:paraId="6512FE5A">
      <w:p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（2）缸口装配采用矩形螺纹连接，螺纹加工需精准，螺距、牙型、尺寸偏差需符合设计标准，螺纹表面无毛刺、划痕、滑牙等缺陷，确保连接紧密、受力均匀，可承受装置运行过程中的振动、载荷冲击。</w:t>
      </w:r>
    </w:p>
    <w:p w14:paraId="4E23CA16">
      <w:pPr>
        <w:spacing w:line="360" w:lineRule="auto"/>
        <w:ind w:firstLine="474" w:firstLineChars="200"/>
      </w:pPr>
      <w:r>
        <w:rPr>
          <w:rFonts w:hint="eastAsia" w:ascii="宋体" w:hAnsi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 xml:space="preserve">2. </w:t>
      </w:r>
      <w:r>
        <w:rPr>
          <w:b/>
          <w:bCs/>
        </w:rPr>
        <w:t>密封要求</w:t>
      </w:r>
    </w:p>
    <w:p w14:paraId="7503EB66">
      <w:pPr>
        <w:spacing w:line="360" w:lineRule="auto"/>
        <w:ind w:firstLine="472" w:firstLineChars="200"/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千斤密封部件需用全新的聚氨酯材料制品，选用国内一线品牌，确保密封件质量可靠、性能稳定，具备良好的耐磨、耐油、耐腐蚀及抗老化性能，可有效防止液压油泄漏，保障千斤正常运行。</w:t>
      </w:r>
    </w:p>
    <w:p w14:paraId="3193369F">
      <w:pPr>
        <w:numPr>
          <w:ilvl w:val="0"/>
          <w:numId w:val="2"/>
        </w:numPr>
        <w:spacing w:line="360" w:lineRule="auto"/>
        <w:ind w:left="0" w:leftChars="0" w:firstLine="474" w:firstLineChars="200"/>
      </w:pPr>
      <w:r>
        <w:rPr>
          <w:rFonts w:hint="eastAsia" w:ascii="宋体" w:hAnsi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>通用加工要求</w:t>
      </w:r>
    </w:p>
    <w:p w14:paraId="021E6381">
      <w:pPr>
        <w:numPr>
          <w:ilvl w:val="0"/>
          <w:numId w:val="3"/>
        </w:num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千斤所有零部件加工精度需符合设计图纸要求，尺寸偏差、形位公差需控制在允许范围内。</w:t>
      </w:r>
    </w:p>
    <w:p w14:paraId="6CE0636A">
      <w:pPr>
        <w:numPr>
          <w:ilvl w:val="0"/>
          <w:numId w:val="3"/>
        </w:numPr>
        <w:spacing w:line="360" w:lineRule="auto"/>
        <w:ind w:left="0" w:leftChars="0"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加工过程中需做好各环节质量检验，重点检查防腐层质量、螺纹精度、密封件装配效果，每道工序检验合格后方可进入下一工序，杜绝不合格部件流入装配环节。</w:t>
      </w:r>
    </w:p>
    <w:p w14:paraId="324841F8">
      <w:p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3.加工完成后，千斤需进行整体调试，确保运行灵活、无卡滞，承载能力、防腐性能、密封性能、防松效果均符合要求。</w:t>
      </w:r>
    </w:p>
    <w:p w14:paraId="6717C14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、质保期</w:t>
      </w:r>
    </w:p>
    <w:p w14:paraId="16DF7C5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质保期为支架投入使用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个月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质保期内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千斤出现漏液、渗液、镀覆层脱落等现象，生产厂家应无条件更换所需配件或更换千斤，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并给予技术支持，售后服务人员在接到通知后24小时内必须到矿解决问题。</w:t>
      </w:r>
    </w:p>
    <w:bookmarkEnd w:id="0"/>
    <w:bookmarkEnd w:id="1"/>
    <w:bookmarkEnd w:id="2"/>
    <w:bookmarkEnd w:id="3"/>
    <w:p w14:paraId="3E611BCB"/>
    <w:sectPr>
      <w:headerReference r:id="rId3" w:type="default"/>
      <w:footerReference r:id="rId4" w:type="default"/>
      <w:pgSz w:w="11906" w:h="16838"/>
      <w:pgMar w:top="1440" w:right="1519" w:bottom="1440" w:left="15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48D2B">
    <w:pPr>
      <w:pStyle w:val="6"/>
      <w:tabs>
        <w:tab w:val="center" w:pos="4453"/>
        <w:tab w:val="left" w:pos="5128"/>
      </w:tabs>
      <w:jc w:val="left"/>
      <w:rPr>
        <w:rFonts w:hint="default" w:eastAsia="宋体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B3063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948F9"/>
    <w:multiLevelType w:val="singleLevel"/>
    <w:tmpl w:val="843948F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85C8D11"/>
    <w:multiLevelType w:val="singleLevel"/>
    <w:tmpl w:val="E85C8D1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CE59602"/>
    <w:multiLevelType w:val="singleLevel"/>
    <w:tmpl w:val="0CE59602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23A1C"/>
    <w:rsid w:val="0078768E"/>
    <w:rsid w:val="02F07A01"/>
    <w:rsid w:val="07A20778"/>
    <w:rsid w:val="0B5C3E34"/>
    <w:rsid w:val="0FCB1589"/>
    <w:rsid w:val="13F15336"/>
    <w:rsid w:val="143C4803"/>
    <w:rsid w:val="14975EDD"/>
    <w:rsid w:val="19D23A1C"/>
    <w:rsid w:val="1D57031A"/>
    <w:rsid w:val="1F7A2683"/>
    <w:rsid w:val="200B777F"/>
    <w:rsid w:val="2731443D"/>
    <w:rsid w:val="278A3680"/>
    <w:rsid w:val="29C559CA"/>
    <w:rsid w:val="2A225DF1"/>
    <w:rsid w:val="323A0BE6"/>
    <w:rsid w:val="363B2715"/>
    <w:rsid w:val="39904B26"/>
    <w:rsid w:val="3CBF4BC3"/>
    <w:rsid w:val="4BB723E6"/>
    <w:rsid w:val="50F92C98"/>
    <w:rsid w:val="514069D9"/>
    <w:rsid w:val="52B23907"/>
    <w:rsid w:val="56813D1C"/>
    <w:rsid w:val="58EE4B98"/>
    <w:rsid w:val="5C496D72"/>
    <w:rsid w:val="5D9A0EF3"/>
    <w:rsid w:val="5F074FDA"/>
    <w:rsid w:val="61257061"/>
    <w:rsid w:val="6F583D43"/>
    <w:rsid w:val="6F6012E1"/>
    <w:rsid w:val="758A40E8"/>
    <w:rsid w:val="7A97325F"/>
    <w:rsid w:val="7B707D38"/>
    <w:rsid w:val="7EB0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54A1" w:themeColor="accent1" w:themeShade="BF"/>
      <w:sz w:val="28"/>
      <w:szCs w:val="28"/>
    </w:rPr>
  </w:style>
  <w:style w:type="paragraph" w:styleId="3">
    <w:name w:val="heading 2"/>
    <w:basedOn w:val="1"/>
    <w:next w:val="4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</w:style>
  <w:style w:type="paragraph" w:styleId="5">
    <w:name w:val="Body Text Indent"/>
    <w:basedOn w:val="1"/>
    <w:next w:val="1"/>
    <w:qFormat/>
    <w:uiPriority w:val="99"/>
    <w:pPr>
      <w:spacing w:after="120"/>
      <w:ind w:left="420" w:leftChars="200"/>
    </w:pPr>
    <w:rPr>
      <w:rFonts w:ascii="Tahoma" w:hAnsi="Tahoma"/>
      <w:b/>
      <w:kern w:val="0"/>
      <w:sz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Body Text First Indent 2"/>
    <w:basedOn w:val="5"/>
    <w:next w:val="1"/>
    <w:qFormat/>
    <w:uiPriority w:val="99"/>
    <w:pPr>
      <w:spacing w:before="100" w:beforeAutospacing="1"/>
      <w:ind w:firstLine="420" w:firstLineChars="200"/>
    </w:pPr>
    <w:rPr>
      <w:rFonts w:ascii="Calibri" w:hAnsi="Calibri" w:eastAsia="宋体" w:cs="Times New Roman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1"/>
    <w:basedOn w:val="1"/>
    <w:qFormat/>
    <w:uiPriority w:val="0"/>
    <w:pPr>
      <w:spacing w:line="360" w:lineRule="auto"/>
      <w:jc w:val="center"/>
      <w:outlineLvl w:val="0"/>
    </w:pPr>
    <w:rPr>
      <w:rFonts w:ascii="宋体" w:hAnsi="宋体"/>
      <w:b/>
      <w:sz w:val="32"/>
      <w:szCs w:val="32"/>
    </w:rPr>
  </w:style>
  <w:style w:type="paragraph" w:customStyle="1" w:styleId="13">
    <w:name w:val="_x0001_"/>
    <w:basedOn w:val="14"/>
    <w:next w:val="15"/>
    <w:qFormat/>
    <w:uiPriority w:val="0"/>
    <w:pPr>
      <w:widowControl w:val="0"/>
      <w:tabs>
        <w:tab w:val="left" w:pos="360"/>
      </w:tabs>
      <w:ind w:firstLine="420" w:firstLineChars="20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14">
    <w:name w:val="_Style 1"/>
    <w:basedOn w:val="1"/>
    <w:qFormat/>
    <w:uiPriority w:val="0"/>
    <w:pPr>
      <w:spacing w:line="360" w:lineRule="auto"/>
      <w:ind w:firstLine="420" w:firstLineChars="200"/>
    </w:pPr>
    <w:rPr>
      <w:rFonts w:ascii="宋体" w:hAnsi="Times New Roman"/>
      <w:kern w:val="0"/>
      <w:sz w:val="24"/>
      <w:lang w:val="zh-CN"/>
    </w:rPr>
  </w:style>
  <w:style w:type="paragraph" w:customStyle="1" w:styleId="15">
    <w:name w:val="_Style 3"/>
    <w:qFormat/>
    <w:uiPriority w:val="99"/>
    <w:pPr>
      <w:jc w:val="both"/>
    </w:pPr>
    <w:rPr>
      <w:rFonts w:ascii="Garamond" w:hAnsi="Garamond" w:eastAsia="宋体" w:cs="Times New Roman"/>
      <w:kern w:val="18"/>
      <w:sz w:val="21"/>
      <w:lang w:val="en-US" w:eastAsia="zh-CN" w:bidi="he-I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1194</Words>
  <Characters>1449</Characters>
  <Lines>0</Lines>
  <Paragraphs>0</Paragraphs>
  <TotalTime>7</TotalTime>
  <ScaleCrop>false</ScaleCrop>
  <LinksUpToDate>false</LinksUpToDate>
  <CharactersWithSpaces>1591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2026-02-28T03:12:00Z</dcterms:created>
  <dc:creator>千念</dc:creator>
  <cp:lastModifiedBy>千念</cp:lastModifiedBy>
  <dcterms:modified xsi:type="dcterms:W3CDTF">2026-05-28T09:34:57Z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C142EB852A704DEC963BC525D2F468C4_11</vt:lpwstr>
  </property>
  <property fmtid="{D5CDD505-2E9C-101B-9397-08002B2CF9AE}" pid="4" name="KSOTemplateDocerSaveRecord">
    <vt:lpwstr>eyJoZGlkIjoiYTFlODFmOGZlM2MwNTJmZTkyY2ZlZmM0Y2FiZDdjMDAiLCJ1c2VySWQiOiI0MjQ5NTk1MDYifQ==</vt:lpwstr>
  </property>
</Properties>
</file>