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03A27">
      <w:pPr>
        <w:rPr>
          <w:rFonts w:hint="eastAsia" w:asciiTheme="minorEastAsia" w:hAnsiTheme="minorEastAsia" w:eastAsiaTheme="minorEastAsia" w:cstheme="minorEastAsia"/>
          <w:b w:val="0"/>
          <w:bCs w:val="0"/>
          <w:kern w:val="0"/>
          <w:sz w:val="24"/>
          <w:szCs w:val="24"/>
        </w:rPr>
      </w:pPr>
      <w:r>
        <w:rPr>
          <w:rFonts w:hint="eastAsia" w:asciiTheme="minorEastAsia" w:hAnsiTheme="minorEastAsia" w:eastAsiaTheme="minorEastAsia" w:cstheme="minorEastAsia"/>
          <w:b/>
          <w:bCs/>
          <w:kern w:val="2"/>
          <w:sz w:val="24"/>
          <w:szCs w:val="24"/>
          <w:lang w:val="en-US" w:eastAsia="zh-CN" w:bidi="ar-SA"/>
        </w:rPr>
        <w:t>附件1：</w:t>
      </w:r>
    </w:p>
    <w:p w14:paraId="77F22A3F">
      <w:pPr>
        <w:pStyle w:val="11"/>
        <w:spacing w:before="0" w:after="0" w:line="360" w:lineRule="auto"/>
        <w:jc w:val="center"/>
        <w:rPr>
          <w:rFonts w:hint="eastAsia" w:asciiTheme="minorEastAsia" w:hAnsiTheme="minorEastAsia" w:eastAsiaTheme="minorEastAsia" w:cstheme="minorEastAsia"/>
          <w:color w:val="auto"/>
          <w:sz w:val="24"/>
          <w:szCs w:val="24"/>
          <w:highlight w:val="none"/>
        </w:rPr>
      </w:pPr>
      <w:bookmarkStart w:id="0" w:name="_Toc4242"/>
      <w:bookmarkStart w:id="1" w:name="_Toc17190"/>
      <w:bookmarkStart w:id="2" w:name="_Toc32403"/>
      <w:bookmarkStart w:id="3" w:name="_Toc27291"/>
      <w:bookmarkStart w:id="4" w:name="_Toc12902"/>
      <w:bookmarkStart w:id="5" w:name="_Toc25209"/>
      <w:bookmarkStart w:id="6" w:name="_Toc21753"/>
      <w:bookmarkStart w:id="7" w:name="_Toc45661896"/>
      <w:bookmarkStart w:id="8" w:name="_Toc70784409"/>
      <w:bookmarkStart w:id="9" w:name="_Toc14238"/>
      <w:bookmarkStart w:id="10" w:name="_Toc15035"/>
      <w:bookmarkStart w:id="11" w:name="_Toc9369"/>
      <w:r>
        <w:rPr>
          <w:rFonts w:hint="eastAsia" w:asciiTheme="minorEastAsia" w:hAnsiTheme="minorEastAsia" w:eastAsiaTheme="minorEastAsia" w:cstheme="minorEastAsia"/>
          <w:color w:val="auto"/>
          <w:sz w:val="24"/>
          <w:szCs w:val="24"/>
          <w:highlight w:val="none"/>
        </w:rPr>
        <w:t>第四章 合同条款及格式</w:t>
      </w:r>
      <w:bookmarkEnd w:id="0"/>
      <w:bookmarkEnd w:id="1"/>
      <w:bookmarkEnd w:id="2"/>
      <w:bookmarkEnd w:id="3"/>
      <w:bookmarkEnd w:id="4"/>
      <w:bookmarkEnd w:id="5"/>
      <w:bookmarkEnd w:id="6"/>
      <w:bookmarkEnd w:id="7"/>
      <w:bookmarkEnd w:id="8"/>
      <w:bookmarkEnd w:id="9"/>
      <w:bookmarkEnd w:id="10"/>
      <w:bookmarkEnd w:id="11"/>
    </w:p>
    <w:p w14:paraId="645F1768">
      <w:pPr>
        <w:pStyle w:val="13"/>
        <w:spacing w:before="0" w:after="0" w:line="360" w:lineRule="auto"/>
        <w:jc w:val="center"/>
        <w:rPr>
          <w:rFonts w:hint="eastAsia" w:asciiTheme="minorEastAsia" w:hAnsiTheme="minorEastAsia" w:eastAsiaTheme="minorEastAsia" w:cstheme="minorEastAsia"/>
          <w:color w:val="auto"/>
          <w:sz w:val="24"/>
          <w:szCs w:val="24"/>
          <w:highlight w:val="none"/>
        </w:rPr>
      </w:pPr>
      <w:bookmarkStart w:id="12" w:name="_Toc246997081"/>
      <w:bookmarkEnd w:id="12"/>
      <w:bookmarkStart w:id="13" w:name="_Toc3346"/>
      <w:bookmarkEnd w:id="13"/>
      <w:bookmarkStart w:id="14" w:name="_Toc179632787"/>
      <w:bookmarkEnd w:id="14"/>
      <w:bookmarkStart w:id="15" w:name="_Toc1549"/>
      <w:bookmarkEnd w:id="15"/>
      <w:bookmarkStart w:id="16" w:name="_Toc1908825318"/>
      <w:bookmarkEnd w:id="16"/>
      <w:bookmarkStart w:id="17" w:name="_Toc17679"/>
      <w:bookmarkEnd w:id="17"/>
      <w:bookmarkStart w:id="18" w:name="_Toc246996338"/>
      <w:bookmarkEnd w:id="18"/>
      <w:bookmarkStart w:id="19" w:name="_Toc247085853"/>
      <w:bookmarkEnd w:id="19"/>
      <w:bookmarkStart w:id="20" w:name="_Toc70784450"/>
      <w:bookmarkEnd w:id="20"/>
      <w:bookmarkStart w:id="21" w:name="_Toc106718886"/>
      <w:bookmarkStart w:id="22" w:name="_Toc8858"/>
      <w:bookmarkStart w:id="23" w:name="_Toc16670"/>
      <w:bookmarkStart w:id="24" w:name="_Toc31311"/>
      <w:r>
        <w:rPr>
          <w:rFonts w:hint="eastAsia" w:asciiTheme="minorEastAsia" w:hAnsiTheme="minorEastAsia" w:eastAsiaTheme="minorEastAsia" w:cstheme="minorEastAsia"/>
          <w:color w:val="auto"/>
          <w:sz w:val="24"/>
          <w:szCs w:val="24"/>
          <w:highlight w:val="none"/>
        </w:rPr>
        <w:t>第一部分 合同协议书</w:t>
      </w:r>
      <w:bookmarkEnd w:id="21"/>
      <w:bookmarkEnd w:id="22"/>
      <w:bookmarkEnd w:id="23"/>
      <w:bookmarkEnd w:id="24"/>
      <w:bookmarkStart w:id="25" w:name="_Toc21403"/>
    </w:p>
    <w:bookmarkEnd w:id="25"/>
    <w:p w14:paraId="7644358F">
      <w:pPr>
        <w:snapToGrid w:val="0"/>
        <w:spacing w:line="360" w:lineRule="auto"/>
        <w:ind w:firstLine="482" w:firstLineChars="200"/>
        <w:rPr>
          <w:rFonts w:hint="eastAsia" w:asciiTheme="minorEastAsia" w:hAnsiTheme="minorEastAsia" w:eastAsiaTheme="minorEastAsia" w:cstheme="minorEastAsia"/>
          <w:b/>
          <w:bCs/>
          <w:color w:val="auto"/>
          <w:kern w:val="2"/>
          <w:sz w:val="24"/>
          <w:szCs w:val="24"/>
          <w:highlight w:val="none"/>
        </w:rPr>
      </w:pPr>
      <w:bookmarkStart w:id="26" w:name="_Toc707844501"/>
      <w:bookmarkEnd w:id="26"/>
      <w:bookmarkStart w:id="27" w:name="_Toc1796327871"/>
      <w:bookmarkEnd w:id="27"/>
      <w:bookmarkStart w:id="28" w:name="_Toc2469970811"/>
      <w:bookmarkEnd w:id="28"/>
      <w:bookmarkStart w:id="29" w:name="_Toc2469963381"/>
      <w:bookmarkEnd w:id="29"/>
      <w:bookmarkStart w:id="30" w:name="_Toc33461"/>
      <w:bookmarkEnd w:id="30"/>
      <w:bookmarkStart w:id="31" w:name="_Toc2470858531"/>
      <w:bookmarkEnd w:id="31"/>
    </w:p>
    <w:p w14:paraId="4C32F59D">
      <w:pPr>
        <w:snapToGrid w:val="0"/>
        <w:spacing w:line="360" w:lineRule="auto"/>
        <w:ind w:firstLine="482" w:firstLineChars="200"/>
        <w:rPr>
          <w:rFonts w:hint="eastAsia" w:asciiTheme="minorEastAsia" w:hAnsiTheme="minorEastAsia" w:eastAsiaTheme="minorEastAsia" w:cstheme="minorEastAsia"/>
          <w:b/>
          <w:bCs/>
          <w:color w:val="auto"/>
          <w:kern w:val="2"/>
          <w:sz w:val="24"/>
          <w:szCs w:val="24"/>
          <w:highlight w:val="none"/>
          <w:u w:val="single"/>
        </w:rPr>
      </w:pPr>
      <w:r>
        <w:rPr>
          <w:rFonts w:hint="eastAsia" w:asciiTheme="minorEastAsia" w:hAnsiTheme="minorEastAsia" w:eastAsiaTheme="minorEastAsia" w:cstheme="minorEastAsia"/>
          <w:b/>
          <w:bCs/>
          <w:color w:val="auto"/>
          <w:kern w:val="2"/>
          <w:sz w:val="24"/>
          <w:szCs w:val="24"/>
          <w:highlight w:val="none"/>
        </w:rPr>
        <w:t>买方：</w:t>
      </w:r>
      <w:r>
        <w:rPr>
          <w:rFonts w:hint="eastAsia" w:asciiTheme="minorEastAsia" w:hAnsiTheme="minorEastAsia" w:eastAsiaTheme="minorEastAsia" w:cstheme="minorEastAsia"/>
          <w:b/>
          <w:bCs/>
          <w:color w:val="auto"/>
          <w:kern w:val="2"/>
          <w:sz w:val="24"/>
          <w:szCs w:val="24"/>
          <w:highlight w:val="none"/>
          <w:u w:val="single"/>
        </w:rPr>
        <w:t xml:space="preserve">靖远煤业集团刘化化工有限公司 </w:t>
      </w:r>
    </w:p>
    <w:p w14:paraId="0E433AC5">
      <w:pPr>
        <w:snapToGrid w:val="0"/>
        <w:spacing w:line="360" w:lineRule="auto"/>
        <w:ind w:firstLine="482" w:firstLineChars="200"/>
        <w:rPr>
          <w:rFonts w:hint="eastAsia" w:asciiTheme="minorEastAsia" w:hAnsiTheme="minorEastAsia" w:eastAsiaTheme="minorEastAsia" w:cstheme="minorEastAsia"/>
          <w:b/>
          <w:bCs/>
          <w:color w:val="auto"/>
          <w:kern w:val="2"/>
          <w:sz w:val="24"/>
          <w:szCs w:val="24"/>
          <w:highlight w:val="none"/>
        </w:rPr>
      </w:pPr>
      <w:r>
        <w:rPr>
          <w:rFonts w:hint="eastAsia" w:asciiTheme="minorEastAsia" w:hAnsiTheme="minorEastAsia" w:eastAsiaTheme="minorEastAsia" w:cstheme="minorEastAsia"/>
          <w:b/>
          <w:bCs/>
          <w:color w:val="auto"/>
          <w:kern w:val="2"/>
          <w:sz w:val="24"/>
          <w:szCs w:val="24"/>
          <w:highlight w:val="none"/>
        </w:rPr>
        <w:t>卖方：</w:t>
      </w:r>
      <w:r>
        <w:rPr>
          <w:rFonts w:hint="eastAsia" w:asciiTheme="minorEastAsia" w:hAnsiTheme="minorEastAsia" w:eastAsiaTheme="minorEastAsia" w:cstheme="minorEastAsia"/>
          <w:b/>
          <w:bCs/>
          <w:color w:val="auto"/>
          <w:kern w:val="2"/>
          <w:sz w:val="24"/>
          <w:szCs w:val="24"/>
          <w:highlight w:val="none"/>
          <w:u w:val="single"/>
        </w:rPr>
        <w:t xml:space="preserve">          </w:t>
      </w:r>
      <w:bookmarkStart w:id="119" w:name="_GoBack"/>
      <w:bookmarkEnd w:id="119"/>
      <w:r>
        <w:rPr>
          <w:rFonts w:hint="eastAsia" w:asciiTheme="minorEastAsia" w:hAnsiTheme="minorEastAsia" w:eastAsiaTheme="minorEastAsia" w:cstheme="minorEastAsia"/>
          <w:b/>
          <w:bCs/>
          <w:color w:val="auto"/>
          <w:kern w:val="2"/>
          <w:sz w:val="24"/>
          <w:szCs w:val="24"/>
          <w:highlight w:val="none"/>
          <w:u w:val="single"/>
        </w:rPr>
        <w:t xml:space="preserve">                   </w:t>
      </w:r>
    </w:p>
    <w:p w14:paraId="3AF33F8F">
      <w:pPr>
        <w:spacing w:after="120" w:afterLines="50" w:line="360" w:lineRule="auto"/>
        <w:ind w:firstLine="480" w:firstLineChars="200"/>
        <w:rPr>
          <w:rFonts w:hint="eastAsia" w:asciiTheme="minorEastAsia" w:hAnsiTheme="minorEastAsia" w:eastAsiaTheme="minorEastAsia" w:cstheme="minorEastAsia"/>
          <w:color w:val="auto"/>
          <w:kern w:val="2"/>
          <w:sz w:val="24"/>
          <w:szCs w:val="24"/>
          <w:highlight w:val="none"/>
        </w:rPr>
      </w:pPr>
    </w:p>
    <w:p w14:paraId="674BE8B4">
      <w:pPr>
        <w:spacing w:after="120" w:afterLines="50" w:line="360" w:lineRule="auto"/>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货物名称、计量单位、具体规格型号、数量一览表</w:t>
      </w:r>
    </w:p>
    <w:tbl>
      <w:tblPr>
        <w:tblStyle w:val="9"/>
        <w:tblW w:w="9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832"/>
        <w:gridCol w:w="1279"/>
        <w:gridCol w:w="947"/>
        <w:gridCol w:w="1103"/>
        <w:gridCol w:w="1419"/>
        <w:gridCol w:w="1737"/>
      </w:tblGrid>
      <w:tr w14:paraId="3DFE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3B1B483E">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序号</w:t>
            </w:r>
          </w:p>
        </w:tc>
        <w:tc>
          <w:tcPr>
            <w:tcW w:w="1831" w:type="dxa"/>
            <w:tcBorders>
              <w:top w:val="single" w:color="auto" w:sz="4" w:space="0"/>
              <w:left w:val="single" w:color="auto" w:sz="4" w:space="0"/>
              <w:bottom w:val="single" w:color="auto" w:sz="4" w:space="0"/>
              <w:right w:val="single" w:color="auto" w:sz="4" w:space="0"/>
            </w:tcBorders>
            <w:vAlign w:val="center"/>
          </w:tcPr>
          <w:p w14:paraId="0A99DE57">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货物名称</w:t>
            </w:r>
          </w:p>
        </w:tc>
        <w:tc>
          <w:tcPr>
            <w:tcW w:w="1279" w:type="dxa"/>
            <w:tcBorders>
              <w:top w:val="single" w:color="auto" w:sz="4" w:space="0"/>
              <w:left w:val="single" w:color="auto" w:sz="4" w:space="0"/>
              <w:bottom w:val="single" w:color="auto" w:sz="4" w:space="0"/>
              <w:right w:val="single" w:color="auto" w:sz="4" w:space="0"/>
            </w:tcBorders>
            <w:vAlign w:val="center"/>
          </w:tcPr>
          <w:p w14:paraId="4E5065E1">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规格</w:t>
            </w:r>
          </w:p>
        </w:tc>
        <w:tc>
          <w:tcPr>
            <w:tcW w:w="947" w:type="dxa"/>
            <w:tcBorders>
              <w:top w:val="single" w:color="auto" w:sz="4" w:space="0"/>
              <w:left w:val="single" w:color="auto" w:sz="4" w:space="0"/>
              <w:bottom w:val="single" w:color="auto" w:sz="4" w:space="0"/>
              <w:right w:val="single" w:color="auto" w:sz="4" w:space="0"/>
            </w:tcBorders>
            <w:vAlign w:val="center"/>
          </w:tcPr>
          <w:p w14:paraId="4707E0EC">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单位</w:t>
            </w:r>
          </w:p>
        </w:tc>
        <w:tc>
          <w:tcPr>
            <w:tcW w:w="1103" w:type="dxa"/>
            <w:tcBorders>
              <w:top w:val="single" w:color="auto" w:sz="4" w:space="0"/>
              <w:left w:val="single" w:color="auto" w:sz="4" w:space="0"/>
              <w:bottom w:val="single" w:color="auto" w:sz="4" w:space="0"/>
              <w:right w:val="single" w:color="auto" w:sz="4" w:space="0"/>
            </w:tcBorders>
            <w:vAlign w:val="center"/>
          </w:tcPr>
          <w:p w14:paraId="28C84A01">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数量</w:t>
            </w:r>
          </w:p>
        </w:tc>
        <w:tc>
          <w:tcPr>
            <w:tcW w:w="1419" w:type="dxa"/>
            <w:tcBorders>
              <w:top w:val="single" w:color="auto" w:sz="4" w:space="0"/>
              <w:left w:val="single" w:color="auto" w:sz="4" w:space="0"/>
              <w:bottom w:val="single" w:color="auto" w:sz="4" w:space="0"/>
              <w:right w:val="single" w:color="auto" w:sz="4" w:space="0"/>
            </w:tcBorders>
            <w:vAlign w:val="center"/>
          </w:tcPr>
          <w:p w14:paraId="6D3D0C98">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单价</w:t>
            </w:r>
          </w:p>
          <w:p w14:paraId="5BC8A7A1">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（元）</w:t>
            </w:r>
          </w:p>
        </w:tc>
        <w:tc>
          <w:tcPr>
            <w:tcW w:w="1734" w:type="dxa"/>
            <w:tcBorders>
              <w:top w:val="single" w:color="auto" w:sz="4" w:space="0"/>
              <w:left w:val="single" w:color="auto" w:sz="4" w:space="0"/>
              <w:bottom w:val="single" w:color="auto" w:sz="4" w:space="0"/>
              <w:right w:val="single" w:color="auto" w:sz="4" w:space="0"/>
            </w:tcBorders>
          </w:tcPr>
          <w:p w14:paraId="4F85195E">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完税总价</w:t>
            </w:r>
          </w:p>
          <w:p w14:paraId="6067E5D8">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（元）</w:t>
            </w:r>
          </w:p>
        </w:tc>
      </w:tr>
      <w:tr w14:paraId="2892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546B0A63">
            <w:pPr>
              <w:spacing w:line="360" w:lineRule="exac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w:t>
            </w:r>
          </w:p>
        </w:tc>
        <w:tc>
          <w:tcPr>
            <w:tcW w:w="1831" w:type="dxa"/>
            <w:tcBorders>
              <w:top w:val="single" w:color="auto" w:sz="4" w:space="0"/>
              <w:left w:val="single" w:color="auto" w:sz="4" w:space="0"/>
              <w:bottom w:val="single" w:color="auto" w:sz="4" w:space="0"/>
              <w:right w:val="single" w:color="auto" w:sz="4" w:space="0"/>
            </w:tcBorders>
            <w:vAlign w:val="center"/>
          </w:tcPr>
          <w:p w14:paraId="5846D45A">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5771122">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947" w:type="dxa"/>
            <w:tcBorders>
              <w:top w:val="single" w:color="auto" w:sz="4" w:space="0"/>
              <w:left w:val="single" w:color="auto" w:sz="4" w:space="0"/>
              <w:bottom w:val="single" w:color="auto" w:sz="4" w:space="0"/>
              <w:right w:val="single" w:color="auto" w:sz="4" w:space="0"/>
            </w:tcBorders>
            <w:vAlign w:val="center"/>
          </w:tcPr>
          <w:p w14:paraId="0FFB407E">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vAlign w:val="center"/>
          </w:tcPr>
          <w:p w14:paraId="19651014">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1AAF1173">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734" w:type="dxa"/>
            <w:tcBorders>
              <w:top w:val="single" w:color="auto" w:sz="4" w:space="0"/>
              <w:left w:val="single" w:color="auto" w:sz="4" w:space="0"/>
              <w:bottom w:val="single" w:color="auto" w:sz="4" w:space="0"/>
              <w:right w:val="single" w:color="auto" w:sz="4" w:space="0"/>
            </w:tcBorders>
          </w:tcPr>
          <w:p w14:paraId="16058711">
            <w:pPr>
              <w:spacing w:line="360" w:lineRule="exact"/>
              <w:jc w:val="center"/>
              <w:rPr>
                <w:rFonts w:hint="eastAsia" w:asciiTheme="minorEastAsia" w:hAnsiTheme="minorEastAsia" w:eastAsiaTheme="minorEastAsia" w:cstheme="minorEastAsia"/>
                <w:color w:val="auto"/>
                <w:sz w:val="24"/>
                <w:szCs w:val="24"/>
                <w:highlight w:val="none"/>
              </w:rPr>
            </w:pPr>
          </w:p>
        </w:tc>
      </w:tr>
      <w:tr w14:paraId="14732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6CA25214">
            <w:pPr>
              <w:spacing w:line="360" w:lineRule="exac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w:t>
            </w:r>
          </w:p>
        </w:tc>
        <w:tc>
          <w:tcPr>
            <w:tcW w:w="1831" w:type="dxa"/>
            <w:tcBorders>
              <w:top w:val="single" w:color="auto" w:sz="4" w:space="0"/>
              <w:left w:val="single" w:color="auto" w:sz="4" w:space="0"/>
              <w:bottom w:val="single" w:color="auto" w:sz="4" w:space="0"/>
              <w:right w:val="single" w:color="auto" w:sz="4" w:space="0"/>
            </w:tcBorders>
            <w:vAlign w:val="center"/>
          </w:tcPr>
          <w:p w14:paraId="3D071E19">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47B7CB9">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947" w:type="dxa"/>
            <w:tcBorders>
              <w:top w:val="single" w:color="auto" w:sz="4" w:space="0"/>
              <w:left w:val="single" w:color="auto" w:sz="4" w:space="0"/>
              <w:bottom w:val="single" w:color="auto" w:sz="4" w:space="0"/>
              <w:right w:val="single" w:color="auto" w:sz="4" w:space="0"/>
            </w:tcBorders>
            <w:vAlign w:val="center"/>
          </w:tcPr>
          <w:p w14:paraId="66E5583B">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vAlign w:val="center"/>
          </w:tcPr>
          <w:p w14:paraId="3AE88358">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305064F1">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734" w:type="dxa"/>
            <w:tcBorders>
              <w:top w:val="single" w:color="auto" w:sz="4" w:space="0"/>
              <w:left w:val="single" w:color="auto" w:sz="4" w:space="0"/>
              <w:bottom w:val="single" w:color="auto" w:sz="4" w:space="0"/>
              <w:right w:val="single" w:color="auto" w:sz="4" w:space="0"/>
            </w:tcBorders>
          </w:tcPr>
          <w:p w14:paraId="22D18DAD">
            <w:pPr>
              <w:spacing w:line="360" w:lineRule="exact"/>
              <w:jc w:val="center"/>
              <w:rPr>
                <w:rFonts w:hint="eastAsia" w:asciiTheme="minorEastAsia" w:hAnsiTheme="minorEastAsia" w:eastAsiaTheme="minorEastAsia" w:cstheme="minorEastAsia"/>
                <w:color w:val="auto"/>
                <w:sz w:val="24"/>
                <w:szCs w:val="24"/>
                <w:highlight w:val="none"/>
              </w:rPr>
            </w:pPr>
          </w:p>
        </w:tc>
      </w:tr>
      <w:tr w14:paraId="2D89F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5A7150D9">
            <w:pPr>
              <w:spacing w:line="360" w:lineRule="exac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831" w:type="dxa"/>
            <w:tcBorders>
              <w:top w:val="single" w:color="auto" w:sz="4" w:space="0"/>
              <w:left w:val="single" w:color="auto" w:sz="4" w:space="0"/>
              <w:bottom w:val="single" w:color="auto" w:sz="4" w:space="0"/>
              <w:right w:val="single" w:color="auto" w:sz="4" w:space="0"/>
            </w:tcBorders>
            <w:vAlign w:val="center"/>
          </w:tcPr>
          <w:p w14:paraId="2098066A">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C70042A">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947" w:type="dxa"/>
            <w:tcBorders>
              <w:top w:val="single" w:color="auto" w:sz="4" w:space="0"/>
              <w:left w:val="single" w:color="auto" w:sz="4" w:space="0"/>
              <w:bottom w:val="single" w:color="auto" w:sz="4" w:space="0"/>
              <w:right w:val="single" w:color="auto" w:sz="4" w:space="0"/>
            </w:tcBorders>
            <w:vAlign w:val="center"/>
          </w:tcPr>
          <w:p w14:paraId="27962342">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vAlign w:val="center"/>
          </w:tcPr>
          <w:p w14:paraId="2CD5F1E1">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1C65D135">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734" w:type="dxa"/>
            <w:tcBorders>
              <w:top w:val="single" w:color="auto" w:sz="4" w:space="0"/>
              <w:left w:val="single" w:color="auto" w:sz="4" w:space="0"/>
              <w:bottom w:val="single" w:color="auto" w:sz="4" w:space="0"/>
              <w:right w:val="single" w:color="auto" w:sz="4" w:space="0"/>
            </w:tcBorders>
          </w:tcPr>
          <w:p w14:paraId="74497B7B">
            <w:pPr>
              <w:spacing w:line="360" w:lineRule="exact"/>
              <w:jc w:val="center"/>
              <w:rPr>
                <w:rFonts w:hint="eastAsia" w:asciiTheme="minorEastAsia" w:hAnsiTheme="minorEastAsia" w:eastAsiaTheme="minorEastAsia" w:cstheme="minorEastAsia"/>
                <w:color w:val="auto"/>
                <w:sz w:val="24"/>
                <w:szCs w:val="24"/>
                <w:highlight w:val="none"/>
              </w:rPr>
            </w:pPr>
          </w:p>
        </w:tc>
      </w:tr>
      <w:tr w14:paraId="792F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906" w:type="dxa"/>
            <w:gridSpan w:val="2"/>
            <w:tcBorders>
              <w:top w:val="single" w:color="auto" w:sz="4" w:space="0"/>
              <w:left w:val="single" w:color="auto" w:sz="4" w:space="0"/>
              <w:bottom w:val="single" w:color="auto" w:sz="4" w:space="0"/>
              <w:right w:val="single" w:color="auto" w:sz="4" w:space="0"/>
            </w:tcBorders>
            <w:vAlign w:val="center"/>
          </w:tcPr>
          <w:p w14:paraId="6F1FE75D">
            <w:pPr>
              <w:spacing w:line="360" w:lineRule="exac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合同总金额</w:t>
            </w:r>
          </w:p>
        </w:tc>
        <w:tc>
          <w:tcPr>
            <w:tcW w:w="6485" w:type="dxa"/>
            <w:gridSpan w:val="5"/>
            <w:tcBorders>
              <w:top w:val="single" w:color="auto" w:sz="4" w:space="0"/>
              <w:left w:val="single" w:color="auto" w:sz="4" w:space="0"/>
              <w:bottom w:val="single" w:color="auto" w:sz="4" w:space="0"/>
              <w:right w:val="single" w:color="auto" w:sz="4" w:space="0"/>
            </w:tcBorders>
            <w:vAlign w:val="center"/>
          </w:tcPr>
          <w:p w14:paraId="1948F2C8">
            <w:pPr>
              <w:spacing w:line="360" w:lineRule="exac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人民币大写：</w:t>
            </w:r>
            <w:r>
              <w:rPr>
                <w:rFonts w:hint="eastAsia" w:asciiTheme="minorEastAsia" w:hAnsiTheme="minorEastAsia" w:eastAsiaTheme="minorEastAsia" w:cstheme="minorEastAsia"/>
                <w:color w:val="auto"/>
                <w:kern w:val="2"/>
                <w:sz w:val="24"/>
                <w:szCs w:val="24"/>
                <w:highlight w:val="none"/>
                <w:u w:val="single"/>
              </w:rPr>
              <w:t xml:space="preserve">        </w:t>
            </w:r>
            <w:r>
              <w:rPr>
                <w:rFonts w:hint="eastAsia" w:asciiTheme="minorEastAsia" w:hAnsiTheme="minorEastAsia" w:eastAsiaTheme="minorEastAsia" w:cstheme="minorEastAsia"/>
                <w:color w:val="auto"/>
                <w:kern w:val="2"/>
                <w:sz w:val="24"/>
                <w:szCs w:val="24"/>
                <w:highlight w:val="none"/>
              </w:rPr>
              <w:t>元（¥          元），含增值税   %</w:t>
            </w:r>
          </w:p>
          <w:p w14:paraId="635E40D8">
            <w:pPr>
              <w:spacing w:line="360" w:lineRule="exac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本合同金额包含货物价格、包装费、运输费、装卸费以及增值税等一切费用。</w:t>
            </w:r>
          </w:p>
        </w:tc>
      </w:tr>
    </w:tbl>
    <w:p w14:paraId="1B080F5A">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07298B35">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本合同由</w:t>
      </w:r>
      <w:r>
        <w:rPr>
          <w:rFonts w:hint="eastAsia" w:asciiTheme="minorEastAsia" w:hAnsiTheme="minorEastAsia" w:eastAsiaTheme="minorEastAsia" w:cstheme="minorEastAsia"/>
          <w:color w:val="auto"/>
          <w:sz w:val="24"/>
          <w:szCs w:val="24"/>
          <w:highlight w:val="none"/>
          <w:u w:val="single"/>
        </w:rPr>
        <w:t>靖远煤业集团刘化化工有限公司</w:t>
      </w:r>
      <w:r>
        <w:rPr>
          <w:rFonts w:hint="eastAsia" w:asciiTheme="minorEastAsia" w:hAnsiTheme="minorEastAsia" w:eastAsiaTheme="minorEastAsia" w:cstheme="minorEastAsia"/>
          <w:color w:val="auto"/>
          <w:sz w:val="24"/>
          <w:szCs w:val="24"/>
          <w:highlight w:val="none"/>
        </w:rPr>
        <w:t>(以下简称买方)与</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(以下简称卖方)签订，卖方愿以总价：人民币大写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向买方提供上述材料等，经双方协商一致达成下列合同条款：</w:t>
      </w:r>
    </w:p>
    <w:p w14:paraId="414F2EEB">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1.本合同买卖双方必须遵守《中华人民共和国民法典》及相关法律法规，并各自履行应负的全部责任。</w:t>
      </w:r>
    </w:p>
    <w:p w14:paraId="4727CB19">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2.下列文件应视为构成并作为阅读和理解本合同协议书组成部分，构成本合同文件之间应是相互说明和相互补充的。如果合同文件之间出现歧义或矛盾，或合同文件中出现明显错误时按如下顺序解释：</w:t>
      </w:r>
    </w:p>
    <w:p w14:paraId="449A89D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(1) 合同条款； </w:t>
      </w:r>
    </w:p>
    <w:p w14:paraId="583B04B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(2) </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函及</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函附录；</w:t>
      </w:r>
    </w:p>
    <w:p w14:paraId="37A9CC4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(3) </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文件和澄清补充文件；</w:t>
      </w:r>
    </w:p>
    <w:p w14:paraId="4E2E93E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文件</w:t>
      </w:r>
    </w:p>
    <w:p w14:paraId="2F6CDE3C">
      <w:pPr>
        <w:spacing w:line="360" w:lineRule="auto"/>
        <w:ind w:firstLine="480" w:firstLineChars="200"/>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3</w:t>
      </w:r>
      <w:r>
        <w:rPr>
          <w:rFonts w:hint="eastAsia" w:asciiTheme="minorEastAsia" w:hAnsiTheme="minorEastAsia" w:eastAsiaTheme="minorEastAsia" w:cstheme="minorEastAsia"/>
          <w:color w:val="auto"/>
          <w:kern w:val="2"/>
          <w:sz w:val="24"/>
          <w:szCs w:val="24"/>
          <w:highlight w:val="none"/>
          <w:lang w:val="en-US" w:eastAsia="zh-CN"/>
        </w:rPr>
        <w:t>.</w:t>
      </w:r>
      <w:r>
        <w:rPr>
          <w:rFonts w:hint="eastAsia" w:asciiTheme="minorEastAsia" w:hAnsiTheme="minorEastAsia" w:eastAsiaTheme="minorEastAsia" w:cstheme="minorEastAsia"/>
          <w:color w:val="auto"/>
          <w:kern w:val="2"/>
          <w:sz w:val="24"/>
          <w:szCs w:val="24"/>
          <w:highlight w:val="none"/>
        </w:rPr>
        <w:t>卖方承诺保证完全按照合同约定提供质量合格的货物和售后服务。</w:t>
      </w:r>
    </w:p>
    <w:p w14:paraId="5954B788">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4.买方保证按合同中规定的时间和方式支付给卖方到期应付的货款。</w:t>
      </w:r>
    </w:p>
    <w:p w14:paraId="5BA0470C">
      <w:pPr>
        <w:spacing w:line="360" w:lineRule="auto"/>
        <w:ind w:firstLine="480" w:firstLineChars="200"/>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5、合同未尽事宜，双方另行签订补充协议，补充协议是合同的组成部分。</w:t>
      </w:r>
    </w:p>
    <w:p w14:paraId="374A3019">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6.本合同一式</w:t>
      </w:r>
      <w:r>
        <w:rPr>
          <w:rFonts w:hint="eastAsia" w:asciiTheme="minorEastAsia" w:hAnsiTheme="minorEastAsia" w:eastAsiaTheme="minorEastAsia" w:cstheme="minorEastAsia"/>
          <w:b/>
          <w:bCs/>
          <w:color w:val="auto"/>
          <w:sz w:val="24"/>
          <w:szCs w:val="24"/>
          <w:highlight w:val="none"/>
          <w:u w:val="single"/>
        </w:rPr>
        <w:t>拾</w:t>
      </w:r>
      <w:r>
        <w:rPr>
          <w:rFonts w:hint="eastAsia" w:asciiTheme="minorEastAsia" w:hAnsiTheme="minorEastAsia" w:eastAsiaTheme="minorEastAsia" w:cstheme="minorEastAsia"/>
          <w:color w:val="auto"/>
          <w:sz w:val="24"/>
          <w:szCs w:val="24"/>
          <w:highlight w:val="none"/>
        </w:rPr>
        <w:t>份，买方执</w:t>
      </w:r>
      <w:r>
        <w:rPr>
          <w:rFonts w:hint="eastAsia" w:asciiTheme="minorEastAsia" w:hAnsiTheme="minorEastAsia" w:eastAsiaTheme="minorEastAsia" w:cstheme="minorEastAsia"/>
          <w:b/>
          <w:bCs/>
          <w:color w:val="auto"/>
          <w:sz w:val="24"/>
          <w:szCs w:val="24"/>
          <w:highlight w:val="none"/>
          <w:u w:val="single"/>
        </w:rPr>
        <w:t>捌</w:t>
      </w:r>
      <w:r>
        <w:rPr>
          <w:rFonts w:hint="eastAsia" w:asciiTheme="minorEastAsia" w:hAnsiTheme="minorEastAsia" w:eastAsiaTheme="minorEastAsia" w:cstheme="minorEastAsia"/>
          <w:color w:val="auto"/>
          <w:sz w:val="24"/>
          <w:szCs w:val="24"/>
          <w:highlight w:val="none"/>
        </w:rPr>
        <w:t>份，卖方备存</w:t>
      </w:r>
      <w:r>
        <w:rPr>
          <w:rFonts w:hint="eastAsia" w:asciiTheme="minorEastAsia" w:hAnsiTheme="minorEastAsia" w:eastAsiaTheme="minorEastAsia" w:cstheme="minorEastAsia"/>
          <w:b/>
          <w:bCs/>
          <w:color w:val="auto"/>
          <w:sz w:val="24"/>
          <w:szCs w:val="24"/>
          <w:highlight w:val="none"/>
          <w:u w:val="single"/>
        </w:rPr>
        <w:t>贰</w:t>
      </w:r>
      <w:r>
        <w:rPr>
          <w:rFonts w:hint="eastAsia" w:asciiTheme="minorEastAsia" w:hAnsiTheme="minorEastAsia" w:eastAsiaTheme="minorEastAsia" w:cstheme="minorEastAsia"/>
          <w:color w:val="auto"/>
          <w:sz w:val="24"/>
          <w:szCs w:val="24"/>
          <w:highlight w:val="none"/>
        </w:rPr>
        <w:t>份。</w:t>
      </w:r>
    </w:p>
    <w:p w14:paraId="2A070707">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tbl>
      <w:tblPr>
        <w:tblStyle w:val="9"/>
        <w:tblpPr w:leftFromText="180" w:rightFromText="180" w:vertAnchor="text" w:horzAnchor="page" w:tblpXSpec="center" w:tblpY="-6"/>
        <w:tblOverlap w:val="never"/>
        <w:tblW w:w="9089"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5007"/>
        <w:gridCol w:w="4082"/>
      </w:tblGrid>
      <w:tr w14:paraId="6464C7B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7401" w:hRule="atLeast"/>
          <w:jc w:val="center"/>
        </w:trPr>
        <w:tc>
          <w:tcPr>
            <w:tcW w:w="5007" w:type="dxa"/>
            <w:tcBorders>
              <w:top w:val="nil"/>
              <w:left w:val="nil"/>
              <w:bottom w:val="nil"/>
              <w:right w:val="nil"/>
            </w:tcBorders>
          </w:tcPr>
          <w:p w14:paraId="15E45C73">
            <w:pPr>
              <w:snapToGrid w:val="0"/>
              <w:spacing w:line="520" w:lineRule="exact"/>
              <w:rPr>
                <w:rFonts w:hint="eastAsia" w:asciiTheme="minorEastAsia" w:hAnsiTheme="minorEastAsia" w:eastAsiaTheme="minorEastAsia" w:cstheme="minorEastAsia"/>
                <w:bCs/>
                <w:color w:val="auto"/>
                <w:sz w:val="24"/>
                <w:szCs w:val="24"/>
                <w:highlight w:val="none"/>
              </w:rPr>
            </w:pPr>
          </w:p>
          <w:p w14:paraId="7A09892A">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买方全称(盖章)：靖远煤业集团刘化化工有限公司 </w:t>
            </w:r>
          </w:p>
          <w:p w14:paraId="3109758A">
            <w:pPr>
              <w:snapToGrid w:val="0"/>
              <w:spacing w:line="520" w:lineRule="exact"/>
              <w:rPr>
                <w:rFonts w:hint="eastAsia" w:asciiTheme="minorEastAsia" w:hAnsiTheme="minorEastAsia" w:eastAsiaTheme="minorEastAsia" w:cstheme="minorEastAsia"/>
                <w:bCs/>
                <w:color w:val="auto"/>
                <w:sz w:val="24"/>
                <w:szCs w:val="24"/>
                <w:highlight w:val="none"/>
              </w:rPr>
            </w:pPr>
          </w:p>
          <w:p w14:paraId="612F691B">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法人代表：</w:t>
            </w:r>
          </w:p>
          <w:p w14:paraId="0EB328AD">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或委托代理人：</w:t>
            </w:r>
          </w:p>
          <w:p w14:paraId="6D8A59EF">
            <w:pPr>
              <w:snapToGrid w:val="0"/>
              <w:spacing w:line="52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sz w:val="24"/>
                <w:szCs w:val="24"/>
                <w:highlight w:val="none"/>
              </w:rPr>
              <w:t>开户行：</w:t>
            </w:r>
          </w:p>
          <w:p w14:paraId="48BEDC41">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账  号：</w:t>
            </w:r>
            <w:r>
              <w:rPr>
                <w:rFonts w:hint="eastAsia" w:asciiTheme="minorEastAsia" w:hAnsiTheme="minorEastAsia" w:eastAsiaTheme="minorEastAsia" w:cstheme="minorEastAsia"/>
                <w:color w:val="auto"/>
                <w:sz w:val="24"/>
                <w:szCs w:val="24"/>
                <w:highlight w:val="none"/>
              </w:rPr>
              <w:t xml:space="preserve"> </w:t>
            </w:r>
          </w:p>
          <w:p w14:paraId="6ACE4E30">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税  号：</w:t>
            </w:r>
          </w:p>
          <w:p w14:paraId="34F0DF2C">
            <w:pPr>
              <w:snapToGrid w:val="0"/>
              <w:spacing w:line="52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sz w:val="24"/>
                <w:szCs w:val="24"/>
                <w:highlight w:val="none"/>
              </w:rPr>
              <w:t>电  话：</w:t>
            </w:r>
          </w:p>
          <w:p w14:paraId="4E2D00B5">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地  址：</w:t>
            </w:r>
            <w:r>
              <w:rPr>
                <w:rFonts w:hint="eastAsia" w:asciiTheme="minorEastAsia" w:hAnsiTheme="minorEastAsia" w:eastAsiaTheme="minorEastAsia" w:cstheme="minorEastAsia"/>
                <w:color w:val="auto"/>
                <w:sz w:val="24"/>
                <w:szCs w:val="24"/>
                <w:highlight w:val="none"/>
              </w:rPr>
              <w:t xml:space="preserve"> </w:t>
            </w:r>
          </w:p>
        </w:tc>
        <w:tc>
          <w:tcPr>
            <w:tcW w:w="4082" w:type="dxa"/>
            <w:tcBorders>
              <w:top w:val="nil"/>
              <w:left w:val="nil"/>
              <w:bottom w:val="nil"/>
              <w:right w:val="nil"/>
            </w:tcBorders>
          </w:tcPr>
          <w:p w14:paraId="099A34B4">
            <w:pPr>
              <w:snapToGrid w:val="0"/>
              <w:spacing w:line="520" w:lineRule="exact"/>
              <w:rPr>
                <w:rFonts w:hint="eastAsia" w:asciiTheme="minorEastAsia" w:hAnsiTheme="minorEastAsia" w:eastAsiaTheme="minorEastAsia" w:cstheme="minorEastAsia"/>
                <w:bCs/>
                <w:color w:val="auto"/>
                <w:sz w:val="24"/>
                <w:szCs w:val="24"/>
                <w:highlight w:val="none"/>
              </w:rPr>
            </w:pPr>
          </w:p>
          <w:p w14:paraId="77A4A548">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rPr>
              <w:t>卖方全称</w:t>
            </w:r>
            <w:r>
              <w:rPr>
                <w:rFonts w:hint="eastAsia" w:asciiTheme="minorEastAsia" w:hAnsiTheme="minorEastAsia" w:eastAsiaTheme="minorEastAsia" w:cstheme="minorEastAsia"/>
                <w:bCs/>
                <w:color w:val="auto"/>
                <w:sz w:val="24"/>
                <w:szCs w:val="24"/>
                <w:highlight w:val="none"/>
              </w:rPr>
              <w:t>（盖章）：</w:t>
            </w:r>
          </w:p>
          <w:p w14:paraId="1B84272B">
            <w:pPr>
              <w:snapToGrid w:val="0"/>
              <w:spacing w:line="520" w:lineRule="exact"/>
              <w:rPr>
                <w:rFonts w:hint="eastAsia" w:asciiTheme="minorEastAsia" w:hAnsiTheme="minorEastAsia" w:eastAsiaTheme="minorEastAsia" w:cstheme="minorEastAsia"/>
                <w:bCs/>
                <w:color w:val="auto"/>
                <w:sz w:val="24"/>
                <w:szCs w:val="24"/>
                <w:highlight w:val="none"/>
              </w:rPr>
            </w:pPr>
          </w:p>
          <w:p w14:paraId="7DD479D3">
            <w:pPr>
              <w:snapToGrid w:val="0"/>
              <w:spacing w:line="520" w:lineRule="exact"/>
              <w:rPr>
                <w:rFonts w:hint="eastAsia" w:asciiTheme="minorEastAsia" w:hAnsiTheme="minorEastAsia" w:eastAsiaTheme="minorEastAsia" w:cstheme="minorEastAsia"/>
                <w:bCs/>
                <w:color w:val="auto"/>
                <w:sz w:val="24"/>
                <w:szCs w:val="24"/>
                <w:highlight w:val="none"/>
              </w:rPr>
            </w:pPr>
          </w:p>
          <w:p w14:paraId="25BD6224">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法人代表：</w:t>
            </w:r>
          </w:p>
          <w:p w14:paraId="4F063951">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或委托代理人：</w:t>
            </w:r>
          </w:p>
          <w:p w14:paraId="7F607DF2">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开户行：</w:t>
            </w:r>
          </w:p>
          <w:p w14:paraId="0491DB6E">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账  号：</w:t>
            </w:r>
          </w:p>
          <w:p w14:paraId="627D64D5">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税  号：</w:t>
            </w:r>
          </w:p>
          <w:p w14:paraId="5D7F757C">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电  话：</w:t>
            </w:r>
          </w:p>
          <w:p w14:paraId="07473409">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 xml:space="preserve">地  址： </w:t>
            </w:r>
          </w:p>
        </w:tc>
      </w:tr>
    </w:tbl>
    <w:p w14:paraId="6EFD68C4">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4FC41FA2">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4153ADD9">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5796ACA1">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28695E64">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18232307">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434E2640">
      <w:pPr>
        <w:rPr>
          <w:rFonts w:hint="eastAsia" w:asciiTheme="minorEastAsia" w:hAnsiTheme="minorEastAsia" w:eastAsiaTheme="minorEastAsia" w:cstheme="minorEastAsia"/>
          <w:color w:val="auto"/>
          <w:sz w:val="24"/>
          <w:szCs w:val="24"/>
          <w:highlight w:val="none"/>
        </w:rPr>
      </w:pPr>
      <w:bookmarkStart w:id="32" w:name="_Toc106718887"/>
      <w:bookmarkStart w:id="33" w:name="_Toc8992"/>
      <w:bookmarkStart w:id="34" w:name="_Toc14773"/>
      <w:r>
        <w:rPr>
          <w:rFonts w:hint="eastAsia" w:asciiTheme="minorEastAsia" w:hAnsiTheme="minorEastAsia" w:eastAsiaTheme="minorEastAsia" w:cstheme="minorEastAsia"/>
          <w:color w:val="auto"/>
          <w:sz w:val="24"/>
          <w:szCs w:val="24"/>
          <w:highlight w:val="none"/>
        </w:rPr>
        <w:br w:type="page"/>
      </w:r>
    </w:p>
    <w:p w14:paraId="3AA62231">
      <w:pPr>
        <w:pStyle w:val="13"/>
        <w:spacing w:before="0" w:after="0" w:line="360" w:lineRule="auto"/>
        <w:jc w:val="center"/>
        <w:rPr>
          <w:rFonts w:hint="eastAsia" w:asciiTheme="minorEastAsia" w:hAnsiTheme="minorEastAsia" w:eastAsiaTheme="minorEastAsia" w:cstheme="minorEastAsia"/>
          <w:color w:val="auto"/>
          <w:sz w:val="24"/>
          <w:szCs w:val="24"/>
          <w:highlight w:val="none"/>
        </w:rPr>
      </w:pPr>
      <w:bookmarkStart w:id="35" w:name="_Toc19901"/>
      <w:bookmarkStart w:id="36" w:name="_Toc6458"/>
      <w:bookmarkStart w:id="37" w:name="_Toc5687"/>
      <w:r>
        <w:rPr>
          <w:rFonts w:hint="eastAsia" w:asciiTheme="minorEastAsia" w:hAnsiTheme="minorEastAsia" w:eastAsiaTheme="minorEastAsia" w:cstheme="minorEastAsia"/>
          <w:color w:val="auto"/>
          <w:sz w:val="24"/>
          <w:szCs w:val="24"/>
          <w:highlight w:val="none"/>
        </w:rPr>
        <w:t>第二部分 合同条款</w:t>
      </w:r>
      <w:bookmarkEnd w:id="32"/>
      <w:bookmarkEnd w:id="33"/>
      <w:bookmarkEnd w:id="34"/>
      <w:bookmarkEnd w:id="35"/>
      <w:bookmarkEnd w:id="36"/>
      <w:bookmarkEnd w:id="37"/>
    </w:p>
    <w:p w14:paraId="1C3E07CC">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靖远煤业集团刘化化工有限公司（以下简称买方）与</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（以下简称卖方）就买方所需材料及服务，双方经协商同意按下列条款签订并执行本合同。</w:t>
      </w:r>
    </w:p>
    <w:p w14:paraId="34083E6E">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38" w:name="_Toc13700"/>
      <w:bookmarkStart w:id="39" w:name="_Toc13067"/>
      <w:bookmarkStart w:id="40" w:name="_Toc13810"/>
      <w:bookmarkStart w:id="41" w:name="_Toc9921"/>
      <w:bookmarkStart w:id="42" w:name="_Toc8969"/>
      <w:bookmarkStart w:id="43" w:name="_Toc106718888"/>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rPr>
        <w:t>合同内容</w:t>
      </w:r>
      <w:bookmarkEnd w:id="38"/>
      <w:bookmarkEnd w:id="39"/>
      <w:bookmarkEnd w:id="40"/>
      <w:bookmarkEnd w:id="41"/>
      <w:bookmarkEnd w:id="42"/>
      <w:bookmarkEnd w:id="43"/>
    </w:p>
    <w:p w14:paraId="0D4F4751">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卖方应根据供货要求、标的物质量标准的详细描述、质保期服务计划等合同文件的约定向买方提供合同约定的货物和质保期服务。</w:t>
      </w:r>
    </w:p>
    <w:p w14:paraId="580FB382">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44" w:name="_Toc7282"/>
      <w:bookmarkStart w:id="45" w:name="_Toc11490"/>
      <w:bookmarkStart w:id="46" w:name="_Toc2508"/>
      <w:bookmarkStart w:id="47" w:name="_Toc502647973"/>
      <w:bookmarkStart w:id="48" w:name="_Toc3024"/>
      <w:bookmarkStart w:id="49" w:name="_Toc106718889"/>
      <w:bookmarkStart w:id="50" w:name="_Toc14888"/>
      <w:bookmarkStart w:id="51" w:name="_Toc26649"/>
      <w:r>
        <w:rPr>
          <w:rFonts w:hint="eastAsia" w:asciiTheme="minorEastAsia" w:hAnsiTheme="minorEastAsia" w:eastAsiaTheme="minorEastAsia" w:cstheme="minorEastAsia"/>
          <w:b/>
          <w:bCs/>
          <w:color w:val="auto"/>
          <w:sz w:val="24"/>
          <w:szCs w:val="24"/>
          <w:highlight w:val="none"/>
        </w:rPr>
        <w:t>2</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包装、运输和交付</w:t>
      </w:r>
      <w:bookmarkEnd w:id="44"/>
      <w:bookmarkEnd w:id="45"/>
      <w:bookmarkEnd w:id="46"/>
      <w:bookmarkEnd w:id="47"/>
      <w:bookmarkEnd w:id="48"/>
      <w:bookmarkEnd w:id="49"/>
      <w:bookmarkEnd w:id="50"/>
      <w:bookmarkEnd w:id="51"/>
    </w:p>
    <w:p w14:paraId="45D13A4F">
      <w:pPr>
        <w:pStyle w:val="5"/>
        <w:spacing w:line="360" w:lineRule="auto"/>
        <w:ind w:firstLine="482" w:firstLineChars="200"/>
        <w:rPr>
          <w:rFonts w:hint="eastAsia" w:asciiTheme="minorEastAsia" w:hAnsiTheme="minorEastAsia" w:eastAsiaTheme="minorEastAsia" w:cstheme="minorEastAsia"/>
          <w:b/>
          <w:bCs/>
          <w:color w:val="auto"/>
          <w:sz w:val="24"/>
          <w:szCs w:val="24"/>
          <w:highlight w:val="none"/>
        </w:rPr>
      </w:pPr>
      <w:bookmarkStart w:id="52" w:name="_Toc502647974"/>
      <w:bookmarkStart w:id="53" w:name="_Toc8557"/>
      <w:r>
        <w:rPr>
          <w:rFonts w:hint="eastAsia" w:asciiTheme="minorEastAsia" w:hAnsiTheme="minorEastAsia" w:eastAsiaTheme="minorEastAsia" w:cstheme="minorEastAsia"/>
          <w:b/>
          <w:bCs/>
          <w:color w:val="auto"/>
          <w:sz w:val="24"/>
          <w:szCs w:val="24"/>
          <w:highlight w:val="none"/>
        </w:rPr>
        <w:t>2.1包装</w:t>
      </w:r>
      <w:bookmarkEnd w:id="52"/>
      <w:bookmarkEnd w:id="53"/>
    </w:p>
    <w:p w14:paraId="39C5C391">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2.1.1卖方应对合同货物进行妥善包装，以满足合同货物运至买方指定地点。包装应采取防潮、防腐蚀及防止其它损坏的必要保护措施，从而保护合同货物能够经受多次搬运、装卸、长途运输并适宜保管。卖方包装物不予以回收。</w:t>
      </w:r>
    </w:p>
    <w:p w14:paraId="40141734">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2.1.2每个独立包装箱内应附装箱清单、质量合格证等资料。</w:t>
      </w:r>
    </w:p>
    <w:p w14:paraId="6E329056">
      <w:pPr>
        <w:pStyle w:val="5"/>
        <w:spacing w:line="360" w:lineRule="auto"/>
        <w:ind w:firstLine="482" w:firstLineChars="200"/>
        <w:rPr>
          <w:rFonts w:hint="eastAsia" w:asciiTheme="minorEastAsia" w:hAnsiTheme="minorEastAsia" w:eastAsiaTheme="minorEastAsia" w:cstheme="minorEastAsia"/>
          <w:b/>
          <w:bCs/>
          <w:color w:val="auto"/>
          <w:sz w:val="24"/>
          <w:szCs w:val="24"/>
          <w:highlight w:val="none"/>
        </w:rPr>
      </w:pPr>
      <w:bookmarkStart w:id="54" w:name="_Toc8235"/>
      <w:bookmarkStart w:id="55" w:name="_Toc502647976"/>
      <w:r>
        <w:rPr>
          <w:rFonts w:hint="eastAsia" w:asciiTheme="minorEastAsia" w:hAnsiTheme="minorEastAsia" w:eastAsiaTheme="minorEastAsia" w:cstheme="minorEastAsia"/>
          <w:b/>
          <w:bCs/>
          <w:color w:val="auto"/>
          <w:sz w:val="24"/>
          <w:szCs w:val="24"/>
          <w:highlight w:val="none"/>
        </w:rPr>
        <w:t>2.2运输</w:t>
      </w:r>
      <w:bookmarkEnd w:id="54"/>
      <w:bookmarkEnd w:id="55"/>
    </w:p>
    <w:p w14:paraId="434BEFE1">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2.2.1卖方应自行选择适宜的运输工具及线路安排合同货物运输。</w:t>
      </w:r>
    </w:p>
    <w:p w14:paraId="5C6A3A18">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2.2.2卖方应在合同货物预计启运</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日前，将合同货物名称、数量、箱数、装运合同货物总金额、运输方式、预计交付日期和合同货物在运输、装卸、保管中的注意事项等预通知买方，并在合同货物启运后 24 小时之内正式通知买方。</w:t>
      </w:r>
    </w:p>
    <w:p w14:paraId="3059F60C">
      <w:pPr>
        <w:pStyle w:val="5"/>
        <w:spacing w:line="360" w:lineRule="auto"/>
        <w:ind w:firstLine="482" w:firstLineChars="200"/>
        <w:rPr>
          <w:rFonts w:hint="eastAsia" w:asciiTheme="minorEastAsia" w:hAnsiTheme="minorEastAsia" w:eastAsiaTheme="minorEastAsia" w:cstheme="minorEastAsia"/>
          <w:b/>
          <w:bCs/>
          <w:color w:val="auto"/>
          <w:sz w:val="24"/>
          <w:szCs w:val="24"/>
          <w:highlight w:val="none"/>
        </w:rPr>
      </w:pPr>
      <w:bookmarkStart w:id="56" w:name="_Toc12101"/>
      <w:bookmarkStart w:id="57" w:name="_Toc502647977"/>
      <w:r>
        <w:rPr>
          <w:rFonts w:hint="eastAsia" w:asciiTheme="minorEastAsia" w:hAnsiTheme="minorEastAsia" w:eastAsiaTheme="minorEastAsia" w:cstheme="minorEastAsia"/>
          <w:b/>
          <w:bCs/>
          <w:color w:val="auto"/>
          <w:sz w:val="24"/>
          <w:szCs w:val="24"/>
          <w:highlight w:val="none"/>
        </w:rPr>
        <w:t>2.3交付</w:t>
      </w:r>
      <w:bookmarkEnd w:id="56"/>
      <w:bookmarkEnd w:id="57"/>
    </w:p>
    <w:p w14:paraId="3519EB96">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2.3.1卖方应在合同签订后的30个工作日内交货，并将合同货物交付给买方指定地点。买方对卖方交付的包装的合同货物的外观及件数进行清点核验后应签发收货清单。买方签发收货清单不代表对合同货物的接受，双方还应按合同约定进行后续的检验和验收。</w:t>
      </w:r>
    </w:p>
    <w:p w14:paraId="204E6F4D">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2.3.2合同货物的所有权和风险自交付时起由卖方转移至买方，合同货物交付给买方之前包括运输在内的所有风险均由卖方承担。</w:t>
      </w:r>
    </w:p>
    <w:p w14:paraId="10D65484">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58" w:name="_Toc106718890"/>
      <w:bookmarkStart w:id="59" w:name="_Toc14584"/>
      <w:bookmarkStart w:id="60" w:name="_Toc18592"/>
      <w:bookmarkStart w:id="61" w:name="_Toc23403"/>
      <w:bookmarkStart w:id="62" w:name="_Toc30052"/>
      <w:bookmarkStart w:id="63" w:name="_Toc3331"/>
      <w:r>
        <w:rPr>
          <w:rFonts w:hint="eastAsia" w:asciiTheme="minorEastAsia" w:hAnsiTheme="minorEastAsia" w:eastAsiaTheme="minorEastAsia" w:cstheme="minorEastAsia"/>
          <w:b/>
          <w:bCs/>
          <w:color w:val="auto"/>
          <w:sz w:val="24"/>
          <w:szCs w:val="24"/>
          <w:highlight w:val="none"/>
          <w:lang w:val="en-US" w:eastAsia="zh-CN"/>
        </w:rPr>
        <w:t>3.</w:t>
      </w:r>
      <w:r>
        <w:rPr>
          <w:rFonts w:hint="eastAsia" w:asciiTheme="minorEastAsia" w:hAnsiTheme="minorEastAsia" w:eastAsiaTheme="minorEastAsia" w:cstheme="minorEastAsia"/>
          <w:b/>
          <w:bCs/>
          <w:color w:val="auto"/>
          <w:sz w:val="24"/>
          <w:szCs w:val="24"/>
          <w:highlight w:val="none"/>
        </w:rPr>
        <w:t>价格与支付</w:t>
      </w:r>
      <w:bookmarkEnd w:id="58"/>
      <w:bookmarkEnd w:id="59"/>
      <w:bookmarkEnd w:id="60"/>
      <w:bookmarkEnd w:id="61"/>
      <w:bookmarkEnd w:id="62"/>
      <w:bookmarkEnd w:id="63"/>
    </w:p>
    <w:p w14:paraId="58A1A2B3">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3.1合同总价：人民币大写          整（ ¥     元 ）。现金或承兑，本合同金额包含货物价格、包装费、运输费、装卸费以及增值税等一切费用。若合同约定的货物有增减变化，合同价格可相应调整，除此之外，合同价格不作调整。</w:t>
      </w:r>
    </w:p>
    <w:p w14:paraId="767607F2">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3.2付款结算方法：</w:t>
      </w:r>
    </w:p>
    <w:p w14:paraId="371B3699">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先货后款，银行承兑分批次支付</w:t>
      </w:r>
      <w:r>
        <w:rPr>
          <w:rFonts w:hint="eastAsia" w:asciiTheme="minorEastAsia" w:hAnsiTheme="minorEastAsia" w:eastAsiaTheme="minorEastAsia" w:cstheme="minorEastAsia"/>
          <w:color w:val="auto"/>
          <w:sz w:val="24"/>
          <w:szCs w:val="24"/>
          <w:highlight w:val="none"/>
        </w:rPr>
        <w:t>。</w:t>
      </w:r>
    </w:p>
    <w:p w14:paraId="7041355B">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64" w:name="_Toc2384"/>
      <w:bookmarkStart w:id="65" w:name="_Toc11001"/>
      <w:bookmarkStart w:id="66" w:name="_Toc30441"/>
      <w:bookmarkStart w:id="67" w:name="_Toc31448"/>
      <w:bookmarkStart w:id="68" w:name="_Toc3119"/>
      <w:bookmarkStart w:id="69" w:name="_Toc502647978"/>
      <w:bookmarkStart w:id="70" w:name="_Toc106718891"/>
      <w:bookmarkStart w:id="71" w:name="_Toc22094"/>
      <w:r>
        <w:rPr>
          <w:rFonts w:hint="eastAsia" w:asciiTheme="minorEastAsia" w:hAnsiTheme="minorEastAsia" w:eastAsiaTheme="minorEastAsia" w:cstheme="minorEastAsia"/>
          <w:b/>
          <w:bCs/>
          <w:color w:val="auto"/>
          <w:sz w:val="24"/>
          <w:szCs w:val="24"/>
          <w:highlight w:val="none"/>
        </w:rPr>
        <w:t>4</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验收</w:t>
      </w:r>
      <w:bookmarkEnd w:id="64"/>
      <w:bookmarkEnd w:id="65"/>
      <w:bookmarkEnd w:id="66"/>
      <w:bookmarkEnd w:id="67"/>
      <w:bookmarkEnd w:id="68"/>
      <w:bookmarkEnd w:id="69"/>
      <w:bookmarkEnd w:id="70"/>
      <w:bookmarkEnd w:id="71"/>
    </w:p>
    <w:p w14:paraId="64AC9E60">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如合同货物在检验中达到检验指标，则买卖双方应签署合同货物验收单。验收日期应为合同货物达到检验指标的日期。合同货物验收不能免除卖方在质量保证期内对合同货物应承担的保证责任。</w:t>
      </w:r>
    </w:p>
    <w:p w14:paraId="6F4DDCB7">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72" w:name="_Toc18942"/>
      <w:bookmarkStart w:id="73" w:name="_Toc106718892"/>
      <w:bookmarkStart w:id="74" w:name="_Toc32484"/>
      <w:bookmarkStart w:id="75" w:name="_Toc1279"/>
      <w:bookmarkStart w:id="76" w:name="_Toc12686"/>
      <w:bookmarkStart w:id="77" w:name="_Toc6467"/>
      <w:r>
        <w:rPr>
          <w:rFonts w:hint="eastAsia" w:asciiTheme="minorEastAsia" w:hAnsiTheme="minorEastAsia" w:eastAsiaTheme="minorEastAsia" w:cstheme="minorEastAsia"/>
          <w:b/>
          <w:bCs/>
          <w:color w:val="auto"/>
          <w:sz w:val="24"/>
          <w:szCs w:val="24"/>
          <w:highlight w:val="none"/>
        </w:rPr>
        <w:t>5</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质量标准及保证期</w:t>
      </w:r>
      <w:bookmarkEnd w:id="72"/>
      <w:bookmarkEnd w:id="73"/>
      <w:bookmarkEnd w:id="74"/>
      <w:bookmarkEnd w:id="75"/>
      <w:bookmarkEnd w:id="76"/>
      <w:bookmarkEnd w:id="77"/>
    </w:p>
    <w:p w14:paraId="52C541F9">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5.1质量标准：满足国家的有关标准、法律法规以及年度的相关要求；按照国家现行质量标准执行并充分考虑当地环境条件和使用条件的影响。</w:t>
      </w:r>
    </w:p>
    <w:p w14:paraId="065CF7A3">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5.2质量保证期：一年质量保证期。在质量保证期内如果合同货物出现质量问题，卖方应免费提供质保期服务，对相关合同货物进行修理或更换。更换的合同货物的质量保证期应重新计算。</w:t>
      </w:r>
    </w:p>
    <w:p w14:paraId="64844F0A">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78" w:name="_Toc11906"/>
      <w:bookmarkStart w:id="79" w:name="_Toc31093"/>
      <w:bookmarkStart w:id="80" w:name="_Toc106718893"/>
      <w:bookmarkStart w:id="81" w:name="_Toc6832"/>
      <w:bookmarkStart w:id="82" w:name="_Toc21872"/>
      <w:bookmarkStart w:id="83" w:name="_Toc32558"/>
      <w:bookmarkStart w:id="84" w:name="_Toc4479"/>
      <w:bookmarkStart w:id="85" w:name="_Toc502647987"/>
      <w:r>
        <w:rPr>
          <w:rFonts w:hint="eastAsia" w:asciiTheme="minorEastAsia" w:hAnsiTheme="minorEastAsia" w:eastAsiaTheme="minorEastAsia" w:cstheme="minorEastAsia"/>
          <w:b/>
          <w:bCs/>
          <w:color w:val="auto"/>
          <w:sz w:val="24"/>
          <w:szCs w:val="24"/>
          <w:highlight w:val="none"/>
        </w:rPr>
        <w:t>6</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保证</w:t>
      </w:r>
      <w:bookmarkEnd w:id="78"/>
      <w:bookmarkEnd w:id="79"/>
      <w:bookmarkEnd w:id="80"/>
      <w:bookmarkEnd w:id="81"/>
      <w:bookmarkEnd w:id="82"/>
      <w:bookmarkEnd w:id="83"/>
      <w:bookmarkEnd w:id="84"/>
      <w:bookmarkEnd w:id="85"/>
    </w:p>
    <w:p w14:paraId="60609FAE">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6.1卖方保证其具有完全的能力履行本合同项下的全部义务。</w:t>
      </w:r>
    </w:p>
    <w:p w14:paraId="0009A43E">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6.2卖方保证其所提供的合同货物及对合同的履行符合所有应适用的法律、行政法规、地方性法规、自治条例和单行条例、规章及其他规范性文件的强制性规定。</w:t>
      </w:r>
    </w:p>
    <w:p w14:paraId="59C90A92">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6.3卖方保证其对合同货物的销售不损害任何第三方的合法权益和社会公众利益。任何第三方不会因卖方原因而基于所有权、抵押权、留置权或其他任何权利或事由对合同货物主张权利。</w:t>
      </w:r>
    </w:p>
    <w:p w14:paraId="60BFEB61">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6.4卖方保证合同货物符合合同约定的供货要求供货且合同货物全新、完整、未使用过。</w:t>
      </w:r>
    </w:p>
    <w:p w14:paraId="432CE538">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86" w:name="_Toc502647990"/>
      <w:bookmarkStart w:id="87" w:name="_Toc7250"/>
      <w:bookmarkStart w:id="88" w:name="_Toc13463"/>
      <w:bookmarkStart w:id="89" w:name="_Toc7803"/>
      <w:bookmarkStart w:id="90" w:name="_Toc28984"/>
      <w:bookmarkStart w:id="91" w:name="_Toc106718896"/>
      <w:bookmarkStart w:id="92" w:name="_Toc14958"/>
      <w:bookmarkStart w:id="93" w:name="_Toc1159"/>
      <w:r>
        <w:rPr>
          <w:rFonts w:hint="eastAsia" w:asciiTheme="minorEastAsia" w:hAnsiTheme="minorEastAsia" w:eastAsiaTheme="minorEastAsia" w:cstheme="minorEastAsia"/>
          <w:b/>
          <w:bCs/>
          <w:color w:val="auto"/>
          <w:sz w:val="24"/>
          <w:szCs w:val="24"/>
          <w:highlight w:val="none"/>
          <w:lang w:val="en-US" w:eastAsia="zh-CN"/>
        </w:rPr>
        <w:t>7.</w:t>
      </w:r>
      <w:r>
        <w:rPr>
          <w:rFonts w:hint="eastAsia" w:asciiTheme="minorEastAsia" w:hAnsiTheme="minorEastAsia" w:eastAsiaTheme="minorEastAsia" w:cstheme="minorEastAsia"/>
          <w:b/>
          <w:bCs/>
          <w:color w:val="auto"/>
          <w:sz w:val="24"/>
          <w:szCs w:val="24"/>
          <w:highlight w:val="none"/>
        </w:rPr>
        <w:t>违约责任</w:t>
      </w:r>
      <w:bookmarkEnd w:id="86"/>
      <w:bookmarkEnd w:id="87"/>
      <w:bookmarkEnd w:id="88"/>
      <w:bookmarkEnd w:id="89"/>
      <w:bookmarkEnd w:id="90"/>
      <w:bookmarkEnd w:id="91"/>
      <w:bookmarkEnd w:id="92"/>
      <w:bookmarkEnd w:id="93"/>
    </w:p>
    <w:p w14:paraId="02CD0032">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.1合同一方不履行合同义务、履行合同义务不符合约定或者违反合同项下所作保证的，应向对方承担继续履行、采取修理、更换、退货等补救措施或者赔偿损失等违约责任。</w:t>
      </w:r>
    </w:p>
    <w:p w14:paraId="154AF9AC">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.2卖方未能按时交付合同货物的，应向买方支付迟延交付违约金。迟延交付违约金的计算方法如下：</w:t>
      </w:r>
    </w:p>
    <w:p w14:paraId="2A587E20">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(1)迟交一周，延迟交付违约金为合同货物价款的0.5%；</w:t>
      </w:r>
    </w:p>
    <w:p w14:paraId="0417B301">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(2)迟交二周，延迟交付违约金为合同货物价款的1%；</w:t>
      </w:r>
    </w:p>
    <w:p w14:paraId="3DE897D5">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(3)迟交三周，延迟交付违约金为合同货物价款的1.5%。</w:t>
      </w:r>
    </w:p>
    <w:p w14:paraId="765D5889">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在计算迟延交付违约金时，迟交不足一周的按一周计算。迟延交付违约金的总额不得超过合同价格的10%。</w:t>
      </w:r>
    </w:p>
    <w:p w14:paraId="1A10700D">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.3迟延交付违约金的支付不能免除卖方继续交付相关合同货物的义务。</w:t>
      </w:r>
    </w:p>
    <w:p w14:paraId="2CFE0F18">
      <w:pPr>
        <w:pStyle w:val="5"/>
        <w:spacing w:line="360" w:lineRule="auto"/>
        <w:ind w:firstLine="482" w:firstLineChars="200"/>
        <w:outlineLvl w:val="1"/>
        <w:rPr>
          <w:rFonts w:hint="eastAsia" w:asciiTheme="minorEastAsia" w:hAnsiTheme="minorEastAsia" w:eastAsiaTheme="minorEastAsia" w:cstheme="minorEastAsia"/>
          <w:b/>
          <w:color w:val="auto"/>
          <w:sz w:val="24"/>
          <w:szCs w:val="24"/>
          <w:highlight w:val="none"/>
        </w:rPr>
      </w:pPr>
      <w:bookmarkStart w:id="94" w:name="_Toc14124"/>
      <w:bookmarkStart w:id="95" w:name="_Toc20841"/>
      <w:bookmarkStart w:id="96" w:name="_Toc19222"/>
      <w:bookmarkStart w:id="97" w:name="_Toc32265"/>
      <w:bookmarkStart w:id="98" w:name="_Toc502647991"/>
      <w:bookmarkStart w:id="99" w:name="_Toc30694"/>
      <w:bookmarkStart w:id="100" w:name="_Toc106718897"/>
      <w:bookmarkStart w:id="101" w:name="_Toc5012"/>
      <w:r>
        <w:rPr>
          <w:rFonts w:hint="eastAsia" w:asciiTheme="minorEastAsia" w:hAnsiTheme="minorEastAsia" w:eastAsiaTheme="minorEastAsia" w:cstheme="minorEastAsia"/>
          <w:b/>
          <w:color w:val="auto"/>
          <w:sz w:val="24"/>
          <w:szCs w:val="24"/>
          <w:highlight w:val="none"/>
          <w:lang w:val="en-US" w:eastAsia="zh-CN"/>
        </w:rPr>
        <w:t>8.</w:t>
      </w:r>
      <w:r>
        <w:rPr>
          <w:rFonts w:hint="eastAsia" w:asciiTheme="minorEastAsia" w:hAnsiTheme="minorEastAsia" w:eastAsiaTheme="minorEastAsia" w:cstheme="minorEastAsia"/>
          <w:b/>
          <w:color w:val="auto"/>
          <w:sz w:val="24"/>
          <w:szCs w:val="24"/>
          <w:highlight w:val="none"/>
        </w:rPr>
        <w:t>合同的解除</w:t>
      </w:r>
      <w:bookmarkEnd w:id="94"/>
      <w:bookmarkEnd w:id="95"/>
      <w:bookmarkEnd w:id="96"/>
      <w:bookmarkEnd w:id="97"/>
      <w:bookmarkEnd w:id="98"/>
      <w:bookmarkEnd w:id="99"/>
      <w:bookmarkEnd w:id="100"/>
      <w:bookmarkEnd w:id="101"/>
    </w:p>
    <w:p w14:paraId="284E03EC">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有下述情形之一，当事人可发出书面通知全部或部分地解除合同，合同自通知到达对方时全部或部分地解除：</w:t>
      </w:r>
    </w:p>
    <w:p w14:paraId="06023CF5">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（1）卖方迟延交付合同货物超过2个月且未能积极组织货源；</w:t>
      </w:r>
    </w:p>
    <w:p w14:paraId="351EB8FF">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（2）合同一方当事人未能履行合同项下任何其它义务（细微义务除外），或在未事先征得另一方当事人同意的情况下，从事任何可能在实质上不利影响其履行合同能力的活动，经另一方当事人书面通知后 14 日内未能对其行为作出补救；</w:t>
      </w:r>
    </w:p>
    <w:p w14:paraId="13A57848">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（3）合同一方当事人出现破产、清算、资不抵债、成为失信被执行人等可能丧失履约能力的情形。</w:t>
      </w:r>
    </w:p>
    <w:p w14:paraId="4EFFC3D4">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102" w:name="page65"/>
      <w:bookmarkEnd w:id="102"/>
      <w:bookmarkStart w:id="103" w:name="_Toc502647992"/>
      <w:bookmarkStart w:id="104" w:name="_Toc11820"/>
      <w:bookmarkStart w:id="105" w:name="_Toc28784"/>
      <w:bookmarkStart w:id="106" w:name="_Toc21094"/>
      <w:bookmarkStart w:id="107" w:name="_Toc28442"/>
      <w:bookmarkStart w:id="108" w:name="_Toc22039"/>
      <w:bookmarkStart w:id="109" w:name="_Toc26698"/>
      <w:bookmarkStart w:id="110" w:name="_Toc106718898"/>
      <w:r>
        <w:rPr>
          <w:rFonts w:hint="eastAsia" w:asciiTheme="minorEastAsia" w:hAnsiTheme="minorEastAsia" w:eastAsiaTheme="minorEastAsia" w:cstheme="minorEastAsia"/>
          <w:b/>
          <w:bCs/>
          <w:color w:val="auto"/>
          <w:sz w:val="24"/>
          <w:szCs w:val="24"/>
          <w:highlight w:val="none"/>
          <w:lang w:val="en-US" w:eastAsia="zh-CN"/>
        </w:rPr>
        <w:t>9.</w:t>
      </w:r>
      <w:r>
        <w:rPr>
          <w:rFonts w:hint="eastAsia" w:asciiTheme="minorEastAsia" w:hAnsiTheme="minorEastAsia" w:eastAsiaTheme="minorEastAsia" w:cstheme="minorEastAsia"/>
          <w:b/>
          <w:bCs/>
          <w:color w:val="auto"/>
          <w:sz w:val="24"/>
          <w:szCs w:val="24"/>
          <w:highlight w:val="none"/>
        </w:rPr>
        <w:t>不可抗力</w:t>
      </w:r>
      <w:bookmarkEnd w:id="103"/>
      <w:bookmarkEnd w:id="104"/>
      <w:bookmarkEnd w:id="105"/>
      <w:bookmarkEnd w:id="106"/>
      <w:bookmarkEnd w:id="107"/>
      <w:bookmarkEnd w:id="108"/>
      <w:bookmarkEnd w:id="109"/>
      <w:bookmarkEnd w:id="110"/>
    </w:p>
    <w:p w14:paraId="6CCBA69C">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1如果任何一方当事人受到不能预见、不能避免且不能克服的不可抗力事件的影响，例如战争、严重的火灾、台风、地震、洪水、疫情等其他情形，而无法履行合同项下的任何义务，则受影响的一方当事人应立即将此类事件的发生通知另一方当事人，并应在不可抗力事件发生后 28 日内将有关当局或机构出具的证明文件提交给另一方当事人。</w:t>
      </w:r>
    </w:p>
    <w:p w14:paraId="2EBD7485">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.2受不可抗力事件影响的一方当事人对于不可抗力事件导致的任何合同义务的迟延履行或不能履行不承担违约责任。但该方当事人应尽快将不可抗力事件结束或消除的情况通知另一方当事人。</w:t>
      </w:r>
    </w:p>
    <w:p w14:paraId="34EBC34B">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.3双方当事人应在不可抗力事件结束或其影响消除后立即继续履行其合同义务，合同期限也应相应顺延。若因不可抗力事件的影响持续超过 140 日，则任何一方当事人均有权以书面通知解除合同。</w:t>
      </w:r>
    </w:p>
    <w:p w14:paraId="364E1D7F">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111" w:name="_Toc106718899"/>
      <w:bookmarkStart w:id="112" w:name="_Toc12770"/>
      <w:bookmarkStart w:id="113" w:name="_Toc12566"/>
      <w:bookmarkStart w:id="114" w:name="_Toc19645"/>
      <w:bookmarkStart w:id="115" w:name="_Toc502647993"/>
      <w:bookmarkStart w:id="116" w:name="_Toc32141"/>
      <w:bookmarkStart w:id="117" w:name="_Toc13072"/>
      <w:bookmarkStart w:id="118" w:name="_Toc19180"/>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val="en-US" w:eastAsia="zh-CN"/>
        </w:rPr>
        <w:t>0.</w:t>
      </w:r>
      <w:r>
        <w:rPr>
          <w:rFonts w:hint="eastAsia" w:asciiTheme="minorEastAsia" w:hAnsiTheme="minorEastAsia" w:eastAsiaTheme="minorEastAsia" w:cstheme="minorEastAsia"/>
          <w:b/>
          <w:bCs/>
          <w:color w:val="auto"/>
          <w:sz w:val="24"/>
          <w:szCs w:val="24"/>
          <w:highlight w:val="none"/>
        </w:rPr>
        <w:t>争议的解决</w:t>
      </w:r>
      <w:bookmarkEnd w:id="111"/>
      <w:bookmarkEnd w:id="112"/>
      <w:bookmarkEnd w:id="113"/>
      <w:bookmarkEnd w:id="114"/>
      <w:bookmarkEnd w:id="115"/>
      <w:bookmarkEnd w:id="116"/>
      <w:bookmarkEnd w:id="117"/>
      <w:bookmarkEnd w:id="118"/>
    </w:p>
    <w:p w14:paraId="75DC8366">
      <w:pPr>
        <w:pStyle w:val="5"/>
        <w:keepNext w:val="0"/>
        <w:keepLines w:val="0"/>
        <w:pageBreakBefore w:val="0"/>
        <w:kinsoku/>
        <w:wordWrap/>
        <w:overflowPunct/>
        <w:topLinePunct w:val="0"/>
        <w:autoSpaceDE/>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因执行本合同发生的一切争议，由双方协商解决，协商不成，向买方所在地有管辖权人民法院起诉。</w:t>
      </w:r>
    </w:p>
    <w:p w14:paraId="300E934A">
      <w:pPr>
        <w:spacing w:line="360" w:lineRule="auto"/>
        <w:ind w:firstLine="200"/>
        <w:rPr>
          <w:rFonts w:hint="eastAsia" w:asciiTheme="minorEastAsia" w:hAnsiTheme="minorEastAsia" w:eastAsiaTheme="minorEastAsia" w:cstheme="minorEastAsia"/>
          <w:color w:val="auto"/>
          <w:sz w:val="24"/>
          <w:szCs w:val="24"/>
          <w:highlight w:val="none"/>
        </w:rPr>
      </w:pPr>
    </w:p>
    <w:p w14:paraId="46D1EB88">
      <w:pPr>
        <w:pStyle w:val="2"/>
        <w:rPr>
          <w:rFonts w:hint="eastAsia" w:asciiTheme="minorEastAsia" w:hAnsiTheme="minorEastAsia" w:eastAsiaTheme="minorEastAsia" w:cstheme="minorEastAsia"/>
          <w:sz w:val="24"/>
          <w:szCs w:val="24"/>
        </w:rPr>
        <w:sectPr>
          <w:headerReference r:id="rId3" w:type="first"/>
          <w:footerReference r:id="rId5" w:type="first"/>
          <w:footerReference r:id="rId4" w:type="default"/>
          <w:pgSz w:w="11905" w:h="16838"/>
          <w:pgMar w:top="1145" w:right="1134" w:bottom="1247" w:left="1134" w:header="567" w:footer="567" w:gutter="0"/>
          <w:pgBorders>
            <w:top w:val="none" w:sz="0" w:space="0"/>
            <w:left w:val="none" w:sz="0" w:space="0"/>
            <w:bottom w:val="none" w:sz="0" w:space="0"/>
            <w:right w:val="none" w:sz="0" w:space="0"/>
          </w:pgBorders>
          <w:pgNumType w:fmt="decimal"/>
          <w:cols w:space="0" w:num="1"/>
          <w:titlePg/>
          <w:rtlGutter w:val="0"/>
          <w:docGrid w:type="lines" w:linePitch="314" w:charSpace="0"/>
        </w:sectPr>
      </w:pPr>
    </w:p>
    <w:p w14:paraId="166A7F0B">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合同附件2：</w:t>
      </w:r>
    </w:p>
    <w:p w14:paraId="52CEDA0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val="0"/>
          <w:bCs w:val="0"/>
          <w:sz w:val="24"/>
          <w:szCs w:val="24"/>
          <w:lang w:val="en-US" w:eastAsia="zh-CN"/>
        </w:rPr>
        <w:t>供应商廉洁承诺书</w:t>
      </w:r>
    </w:p>
    <w:p w14:paraId="73F3392D">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本公司自愿与靖远煤业集团刘化化工有限公司（以下简称“贵公司”）长久合作，互惠共赢。为规范招响应、物资采购等经济活动及合同履行，确保公开、公正、公平，从源头上预防和遏制违纪违法问题发生，特承诺如下： </w:t>
      </w:r>
    </w:p>
    <w:p w14:paraId="3A694A6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一、在与贵公司业务往来合作过程中，严格遵守国家有关法律法规和廉洁规定，坚持公平、公开、公正、诚实信用的原则，绝不做出损害双方企业利益的行为。 </w:t>
      </w:r>
    </w:p>
    <w:p w14:paraId="4200818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二、在与贵公司合作期间，不以任何理由向贵公司人员及其亲属行贿，赠送礼品礼金、购物卡、有价证券，不以任何形式为贵公司人员及其亲属免费提供劳务或支付应由其个人支付的餐饮、消费等费用。</w:t>
      </w:r>
    </w:p>
    <w:p w14:paraId="14415420">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三、不与贵公司人员及其亲属从事合作项目相关的物资买卖或其他经济活动。 </w:t>
      </w:r>
    </w:p>
    <w:p w14:paraId="0561F77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四、不与其他竞卖人相互串标、围标，不采取任何手段排挤其他竞卖人参与公平竞争和损害贵公司利益。 </w:t>
      </w:r>
    </w:p>
    <w:p w14:paraId="6D8E7570">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五、不私下接触贵公司人员，不以弄虚作假的方式参加竞卖。</w:t>
      </w:r>
    </w:p>
    <w:p w14:paraId="726C6CD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六、本公司积极配合贵公司信访调查、检查、调研等工作，及时提供相关资料并保证所提供资料、信息的准确性客观性。</w:t>
      </w:r>
    </w:p>
    <w:p w14:paraId="7BB7BE1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七、若有贵公司工作人员提出违纪要求或有其它违纪违法问题，立即向贵公司纪检部门举报。</w:t>
      </w:r>
    </w:p>
    <w:p w14:paraId="4981173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举报电话：17609432773  13195942226  </w:t>
      </w:r>
    </w:p>
    <w:p w14:paraId="5C06ACA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举报邮箱：LHHGjw2023＠163.com</w:t>
      </w:r>
    </w:p>
    <w:p w14:paraId="4F3EE3D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八、如违反上述承诺，贵公司有权立即终止与我公司合作，并列入贵公司的黑名单，永久取消项目响应、供应商资格。</w:t>
      </w:r>
    </w:p>
    <w:p w14:paraId="4B9673A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此承诺书的效力在年度供应商入围有效期内。 </w:t>
      </w:r>
    </w:p>
    <w:p w14:paraId="0FB6E92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此承诺书加盖本公司公章后生效。 </w:t>
      </w:r>
    </w:p>
    <w:p w14:paraId="70AA909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p>
    <w:p w14:paraId="7C72142D">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p>
    <w:p w14:paraId="786EE739">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承诺方（盖公章）： </w:t>
      </w:r>
    </w:p>
    <w:p w14:paraId="0003DB06">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承诺方法人代表（或委托人）： </w:t>
      </w:r>
    </w:p>
    <w:p w14:paraId="1F0971E9">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日 期    年   月   日 </w:t>
      </w:r>
    </w:p>
    <w:p w14:paraId="1F6028C3">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404BA99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合同附件4：</w:t>
      </w:r>
    </w:p>
    <w:p w14:paraId="1F5ACA6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诚信交易承诺书</w:t>
      </w:r>
    </w:p>
    <w:p w14:paraId="669526B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致：靖远煤业集团刘化化工有限公司</w:t>
      </w:r>
    </w:p>
    <w:p w14:paraId="1C9289B0">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我公司申请成为靖远煤业集团刘化化工有限公司（以下简称“贵公司”）的合格供应商，为维护商业活动中的公平竞争秩序，我公司将在与贵公司的业务交往活动中恪守诚信、廉洁、自律的行为准则，并郑重承诺如下：</w:t>
      </w:r>
    </w:p>
    <w:p w14:paraId="0097A46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1.我公司保证自觉遵守《中华人民共和国反不正当竞争法》《中华人民共和国响应响应法》《中华人民共和国民法典》等法律法规及相关政策，严格执行贵公司关于供应商管理及物资响应采购的有关规定。</w:t>
      </w:r>
    </w:p>
    <w:p w14:paraId="1712014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我公司保证在参加贵公司网上及现场招响应活动过程中不违反商业道德，不扰乱正常竞争秩序，不行贿、不围标、不串标，不泄露贵公司机密信息，不在招响应活动中弄虚作假，报价合理，不高于同行供应价格。</w:t>
      </w:r>
    </w:p>
    <w:p w14:paraId="50096A8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我公司保证严格履行与贵公司签订的书面及电子合同中约定的义务，按期交货，按合同约定保证供货质量。对因我公司原因导致所供的产品存在产权纠纷或侵犯第三方合法权益的，由我公司承担相应的法律责任，与贵公司无关。</w:t>
      </w:r>
    </w:p>
    <w:p w14:paraId="6936419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如我公司及所属工作人员违反上述条款规定，一经核实，我方接受贵公司依据有关规定所做出的的包括罚款、取消我公司在一定期限内交易资格等任何形式的处罚，对给贵公司造成损失的，我公司愿意承担赔偿责任。</w:t>
      </w:r>
    </w:p>
    <w:p w14:paraId="6C2D192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5.因我公司供货质量、提供服务不能满足贵公司要求而发生退货、换货所带来的费用和损失，我公司自行承担，如发生产品质量纠纷，我公司愿意承担举证义务，并承担因此而导致的费用。</w:t>
      </w:r>
    </w:p>
    <w:p w14:paraId="11C1F91A">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6.对贵公司在特殊情况下撤销在网上已发出的响应事项，我公司充分理解并无条件接受，自行担负为响应所付出的相关费用。</w:t>
      </w:r>
    </w:p>
    <w:p w14:paraId="045EFE6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7.以上承诺效力包括我公司所参与的贵公司的每一次网上及现场响应全过程，并作为我公司每一次成交后所成立的合同的组成部分之一。</w:t>
      </w:r>
    </w:p>
    <w:p w14:paraId="13BBBEA8">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14:paraId="62834FE7">
      <w:pPr>
        <w:keepNext w:val="0"/>
        <w:keepLines w:val="0"/>
        <w:pageBreakBefore w:val="0"/>
        <w:widowControl w:val="0"/>
        <w:kinsoku/>
        <w:wordWrap/>
        <w:overflowPunct/>
        <w:topLinePunct w:val="0"/>
        <w:autoSpaceDE/>
        <w:autoSpaceDN/>
        <w:bidi w:val="0"/>
        <w:adjustRightInd/>
        <w:snapToGrid/>
        <w:spacing w:line="600" w:lineRule="exact"/>
        <w:ind w:firstLine="3600" w:firstLineChars="15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供应商（盖章）：</w:t>
      </w:r>
    </w:p>
    <w:p w14:paraId="6AF154B8">
      <w:pPr>
        <w:keepNext w:val="0"/>
        <w:keepLines w:val="0"/>
        <w:pageBreakBefore w:val="0"/>
        <w:widowControl w:val="0"/>
        <w:kinsoku/>
        <w:wordWrap/>
        <w:overflowPunct/>
        <w:topLinePunct w:val="0"/>
        <w:autoSpaceDE/>
        <w:autoSpaceDN/>
        <w:bidi w:val="0"/>
        <w:adjustRightInd/>
        <w:snapToGrid/>
        <w:spacing w:line="600" w:lineRule="exact"/>
        <w:ind w:firstLine="3600" w:firstLineChars="15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法人代表（或授权委托人）：</w:t>
      </w:r>
    </w:p>
    <w:p w14:paraId="0ECE0B7B">
      <w:pPr>
        <w:keepNext w:val="0"/>
        <w:keepLines w:val="0"/>
        <w:pageBreakBefore w:val="0"/>
        <w:widowControl w:val="0"/>
        <w:kinsoku/>
        <w:wordWrap/>
        <w:overflowPunct/>
        <w:topLinePunct w:val="0"/>
        <w:autoSpaceDE/>
        <w:autoSpaceDN/>
        <w:bidi w:val="0"/>
        <w:adjustRightInd/>
        <w:snapToGrid/>
        <w:spacing w:line="600" w:lineRule="exact"/>
        <w:ind w:firstLine="3600" w:firstLineChars="15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日  期：  年  月  日</w:t>
      </w:r>
    </w:p>
    <w:p w14:paraId="3CB073BA">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p>
    <w:p w14:paraId="57F256B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7451D45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6D4C4D2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1999CF6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6B54BF1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5398173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1D3A6BC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2A0EBA68">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028B57C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20E66B6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12FDF81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4A529A0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5CD7F82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434F806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p>
    <w:p w14:paraId="1B7C935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（本页无正文，为合同签署页）</w:t>
      </w:r>
    </w:p>
    <w:p w14:paraId="342587E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p>
    <w:p w14:paraId="5A53A1E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甲    方：</w:t>
      </w:r>
      <w:r>
        <w:rPr>
          <w:rFonts w:hint="eastAsia" w:asciiTheme="minorEastAsia" w:hAnsiTheme="minorEastAsia" w:eastAsiaTheme="minorEastAsia" w:cstheme="minorEastAsia"/>
          <w:sz w:val="24"/>
          <w:szCs w:val="24"/>
          <w:u w:val="single"/>
          <w:lang w:val="en-US" w:eastAsia="zh-CN"/>
        </w:rPr>
        <w:t>靖远煤业集团刘化化工有限公司</w:t>
      </w:r>
      <w:r>
        <w:rPr>
          <w:rFonts w:hint="eastAsia" w:asciiTheme="minorEastAsia" w:hAnsiTheme="minorEastAsia" w:eastAsiaTheme="minorEastAsia" w:cstheme="minorEastAsia"/>
          <w:sz w:val="24"/>
          <w:szCs w:val="24"/>
          <w:lang w:val="en-US" w:eastAsia="zh-CN"/>
        </w:rPr>
        <w:t>（盖章）</w:t>
      </w:r>
    </w:p>
    <w:p w14:paraId="4A3DC4A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法定人代表/委托代理人：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（签字）</w:t>
      </w:r>
    </w:p>
    <w:p w14:paraId="4D436ED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联 系 人：</w:t>
      </w:r>
      <w:r>
        <w:rPr>
          <w:rFonts w:hint="eastAsia" w:asciiTheme="minorEastAsia" w:hAnsiTheme="minorEastAsia" w:eastAsiaTheme="minorEastAsia" w:cstheme="minorEastAsia"/>
          <w:sz w:val="24"/>
          <w:szCs w:val="24"/>
          <w:u w:val="single"/>
          <w:lang w:val="en-US" w:eastAsia="zh-CN"/>
        </w:rPr>
        <w:t>王 静</w:t>
      </w:r>
    </w:p>
    <w:p w14:paraId="55ED629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联系电话：</w:t>
      </w:r>
      <w:r>
        <w:rPr>
          <w:rFonts w:hint="eastAsia" w:asciiTheme="minorEastAsia" w:hAnsiTheme="minorEastAsia" w:eastAsiaTheme="minorEastAsia" w:cstheme="minorEastAsia"/>
          <w:sz w:val="24"/>
          <w:szCs w:val="24"/>
          <w:u w:val="single"/>
          <w:lang w:val="en-US" w:eastAsia="zh-CN"/>
        </w:rPr>
        <w:t>13893055457</w:t>
      </w:r>
    </w:p>
    <w:p w14:paraId="7029774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邮    编： </w:t>
      </w:r>
      <w:r>
        <w:rPr>
          <w:rFonts w:hint="eastAsia" w:asciiTheme="minorEastAsia" w:hAnsiTheme="minorEastAsia" w:eastAsiaTheme="minorEastAsia" w:cstheme="minorEastAsia"/>
          <w:sz w:val="24"/>
          <w:szCs w:val="24"/>
          <w:u w:val="single"/>
          <w:lang w:val="en-US" w:eastAsia="zh-CN"/>
        </w:rPr>
        <w:t xml:space="preserve">730900 </w:t>
      </w:r>
      <w:r>
        <w:rPr>
          <w:rFonts w:hint="eastAsia" w:asciiTheme="minorEastAsia" w:hAnsiTheme="minorEastAsia" w:eastAsiaTheme="minorEastAsia" w:cstheme="minorEastAsia"/>
          <w:sz w:val="24"/>
          <w:szCs w:val="24"/>
          <w:lang w:val="en-US" w:eastAsia="zh-CN"/>
        </w:rPr>
        <w:t xml:space="preserve"> </w:t>
      </w:r>
    </w:p>
    <w:p w14:paraId="0FFC11D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开户银行：</w:t>
      </w:r>
      <w:r>
        <w:rPr>
          <w:rFonts w:hint="eastAsia" w:asciiTheme="minorEastAsia" w:hAnsiTheme="minorEastAsia" w:eastAsiaTheme="minorEastAsia" w:cstheme="minorEastAsia"/>
          <w:sz w:val="24"/>
          <w:szCs w:val="24"/>
          <w:u w:val="single"/>
          <w:lang w:val="en-US" w:eastAsia="zh-CN"/>
        </w:rPr>
        <w:t>中国工商银行股份有限公司白银铜城支行</w:t>
      </w:r>
    </w:p>
    <w:p w14:paraId="6924157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账    号：</w:t>
      </w:r>
      <w:r>
        <w:rPr>
          <w:rFonts w:hint="eastAsia" w:asciiTheme="minorEastAsia" w:hAnsiTheme="minorEastAsia" w:eastAsiaTheme="minorEastAsia" w:cstheme="minorEastAsia"/>
          <w:sz w:val="24"/>
          <w:szCs w:val="24"/>
          <w:u w:val="single"/>
          <w:lang w:val="en-US" w:eastAsia="zh-CN"/>
        </w:rPr>
        <w:t>2704055109200126819</w:t>
      </w:r>
    </w:p>
    <w:p w14:paraId="4D01B03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单位地址：</w:t>
      </w:r>
      <w:r>
        <w:rPr>
          <w:rFonts w:hint="eastAsia" w:asciiTheme="minorEastAsia" w:hAnsiTheme="minorEastAsia" w:eastAsiaTheme="minorEastAsia" w:cstheme="minorEastAsia"/>
          <w:sz w:val="24"/>
          <w:szCs w:val="24"/>
          <w:u w:val="single"/>
          <w:lang w:val="en-US" w:eastAsia="zh-CN"/>
        </w:rPr>
        <w:t>甘肃省白银市白银区王岘镇东星村苏家墩201号</w:t>
      </w:r>
    </w:p>
    <w:p w14:paraId="40ECEA0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纳税人识别号：</w:t>
      </w:r>
      <w:r>
        <w:rPr>
          <w:rFonts w:hint="eastAsia" w:asciiTheme="minorEastAsia" w:hAnsiTheme="minorEastAsia" w:eastAsiaTheme="minorEastAsia" w:cstheme="minorEastAsia"/>
          <w:sz w:val="24"/>
          <w:szCs w:val="24"/>
          <w:u w:val="single"/>
          <w:lang w:val="en-US" w:eastAsia="zh-CN"/>
        </w:rPr>
        <w:t>91620400MA736YUW0C</w:t>
      </w:r>
    </w:p>
    <w:p w14:paraId="2C698E6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p>
    <w:p w14:paraId="24D73F9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乙    方：</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（盖章）</w:t>
      </w:r>
    </w:p>
    <w:p w14:paraId="68D5C5D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法定人代表/委托代理人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（签字）</w:t>
      </w:r>
    </w:p>
    <w:p w14:paraId="2B305BD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联 系 人：</w:t>
      </w:r>
      <w:r>
        <w:rPr>
          <w:rFonts w:hint="eastAsia" w:asciiTheme="minorEastAsia" w:hAnsiTheme="minorEastAsia" w:eastAsiaTheme="minorEastAsia" w:cstheme="minorEastAsia"/>
          <w:sz w:val="24"/>
          <w:szCs w:val="24"/>
          <w:u w:val="single"/>
          <w:lang w:val="en-US" w:eastAsia="zh-CN"/>
        </w:rPr>
        <w:t xml:space="preserve">        </w:t>
      </w:r>
    </w:p>
    <w:p w14:paraId="752E29D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联系电话：</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p>
    <w:p w14:paraId="1172F41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邮    编：</w:t>
      </w:r>
      <w:r>
        <w:rPr>
          <w:rFonts w:hint="eastAsia" w:asciiTheme="minorEastAsia" w:hAnsiTheme="minorEastAsia" w:eastAsiaTheme="minorEastAsia" w:cstheme="minorEastAsia"/>
          <w:sz w:val="24"/>
          <w:szCs w:val="24"/>
          <w:u w:val="single"/>
          <w:lang w:val="en-US" w:eastAsia="zh-CN"/>
        </w:rPr>
        <w:t xml:space="preserve">           </w:t>
      </w:r>
    </w:p>
    <w:p w14:paraId="636EB06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开户银行：</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p>
    <w:p w14:paraId="2140BF5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账    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p>
    <w:p w14:paraId="2D7D6F0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单位地址：</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p>
    <w:p w14:paraId="06596C5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纳税人识别号：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p>
    <w:p w14:paraId="7D0F1B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67F0D">
    <w:pPr>
      <w:pStyle w:val="6"/>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317A68">
                          <w:pPr>
                            <w:pStyle w:val="6"/>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10317A68">
                    <w:pPr>
                      <w:pStyle w:val="6"/>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6EBDE">
    <w:pPr>
      <w:pStyle w:val="6"/>
      <w:jc w:val="right"/>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122440">
                          <w:pPr>
                            <w:pStyle w:val="6"/>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fill on="f" focussize="0,0"/>
              <v:stroke on="f" weight="0.5pt"/>
              <v:imagedata o:title=""/>
              <o:lock v:ext="edit" aspectratio="f"/>
              <v:textbox inset="0mm,0mm,0mm,0mm" style="mso-fit-shape-to-text:t;">
                <w:txbxContent>
                  <w:p w14:paraId="0C122440">
                    <w:pPr>
                      <w:pStyle w:val="6"/>
                    </w:pPr>
                    <w:r>
                      <w:fldChar w:fldCharType="begin"/>
                    </w:r>
                    <w:r>
                      <w:instrText xml:space="preserve"> PAGE  \* MERGEFORMAT </w:instrText>
                    </w:r>
                    <w:r>
                      <w:fldChar w:fldCharType="separate"/>
                    </w:r>
                    <w:r>
                      <w:t>43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2FBFD">
    <w:pPr>
      <w:pStyle w:val="7"/>
      <w:tabs>
        <w:tab w:val="left" w:pos="3990"/>
        <w:tab w:val="right" w:pos="9071"/>
      </w:tabs>
      <w:ind w:right="-7"/>
      <w:jc w:val="left"/>
      <w:rPr>
        <w:rFonts w:hint="eastAsia" w:ascii="宋体" w:hAnsi="宋体" w:eastAsia="宋体"/>
        <w:u w:val="none"/>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CB59A5"/>
    <w:rsid w:val="26CB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39"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itle"/>
    <w:next w:val="1"/>
    <w:qFormat/>
    <w:uiPriority w:val="0"/>
    <w:pPr>
      <w:widowControl w:val="0"/>
      <w:spacing w:before="240" w:after="60"/>
      <w:jc w:val="center"/>
      <w:outlineLvl w:val="0"/>
    </w:pPr>
    <w:rPr>
      <w:rFonts w:ascii="Cambria" w:hAnsi="Cambria" w:eastAsia="Cambria" w:cs="Times New Roman"/>
      <w:b/>
      <w:kern w:val="2"/>
      <w:sz w:val="32"/>
      <w:szCs w:val="32"/>
      <w:lang w:val="en-US" w:eastAsia="zh-CN" w:bidi="ar-SA"/>
    </w:rPr>
  </w:style>
  <w:style w:type="paragraph" w:styleId="3">
    <w:name w:val="toc 7"/>
    <w:next w:val="1"/>
    <w:unhideWhenUsed/>
    <w:qFormat/>
    <w:uiPriority w:val="39"/>
    <w:pPr>
      <w:widowControl w:val="0"/>
      <w:ind w:left="2520" w:leftChars="1200"/>
      <w:jc w:val="both"/>
    </w:pPr>
    <w:rPr>
      <w:rFonts w:asciiTheme="minorHAnsi" w:hAnsiTheme="minorHAnsi" w:eastAsiaTheme="minorEastAsia" w:cstheme="minorBidi"/>
      <w:kern w:val="2"/>
      <w:sz w:val="21"/>
      <w:szCs w:val="22"/>
      <w:lang w:val="en-US" w:eastAsia="zh-CN" w:bidi="ar-SA"/>
    </w:rPr>
  </w:style>
  <w:style w:type="paragraph" w:styleId="4">
    <w:name w:val="Body Text Indent"/>
    <w:next w:val="3"/>
    <w:qFormat/>
    <w:uiPriority w:val="0"/>
    <w:pPr>
      <w:widowControl w:val="0"/>
      <w:ind w:firstLine="444"/>
      <w:jc w:val="both"/>
    </w:pPr>
    <w:rPr>
      <w:rFonts w:ascii="Times New Roman" w:hAnsi="Times New Roman" w:eastAsia="宋体" w:cs="Times New Roman"/>
      <w:b/>
      <w:kern w:val="2"/>
      <w:sz w:val="21"/>
      <w:szCs w:val="24"/>
      <w:lang w:val="en-US" w:eastAsia="zh-CN" w:bidi="ar-SA"/>
    </w:rPr>
  </w:style>
  <w:style w:type="paragraph" w:styleId="5">
    <w:name w:val="Plain Text"/>
    <w:qFormat/>
    <w:uiPriority w:val="0"/>
    <w:pPr>
      <w:widowControl w:val="0"/>
      <w:jc w:val="both"/>
    </w:pPr>
    <w:rPr>
      <w:rFonts w:ascii="宋体" w:hAnsi="宋体" w:eastAsia="宋体" w:cs="Times New Roman"/>
      <w:kern w:val="2"/>
      <w:sz w:val="21"/>
      <w:szCs w:val="22"/>
      <w:lang w:val="en-US" w:eastAsia="zh-CN" w:bidi="ar-SA"/>
    </w:rPr>
  </w:style>
  <w:style w:type="paragraph" w:styleId="6">
    <w:name w:val="footer"/>
    <w:next w:val="1"/>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7">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8">
    <w:name w:val="Body Text First Indent 2"/>
    <w:next w:val="1"/>
    <w:qFormat/>
    <w:uiPriority w:val="0"/>
    <w:pPr>
      <w:widowControl w:val="0"/>
      <w:ind w:firstLine="210" w:firstLineChars="200"/>
      <w:jc w:val="both"/>
    </w:pPr>
    <w:rPr>
      <w:rFonts w:ascii="Times New Roman" w:hAnsi="Times New Roman" w:eastAsia="宋体" w:cs="Times New Roman"/>
      <w:b/>
      <w:kern w:val="2"/>
      <w:sz w:val="28"/>
      <w:szCs w:val="24"/>
      <w:lang w:val="en-US" w:eastAsia="zh-CN" w:bidi="ar-SA"/>
    </w:rPr>
  </w:style>
  <w:style w:type="paragraph" w:customStyle="1" w:styleId="11">
    <w:name w:val="标题 11"/>
    <w:next w:val="12"/>
    <w:autoRedefine/>
    <w:qFormat/>
    <w:uiPriority w:val="0"/>
    <w:pPr>
      <w:keepNext/>
      <w:keepLines/>
      <w:widowControl w:val="0"/>
      <w:spacing w:before="340" w:after="330" w:line="576" w:lineRule="auto"/>
      <w:jc w:val="both"/>
      <w:outlineLvl w:val="0"/>
    </w:pPr>
    <w:rPr>
      <w:rFonts w:ascii="Times New Roman" w:hAnsi="Times New Roman" w:eastAsia="宋体" w:cs="Times New Roman"/>
      <w:b/>
      <w:kern w:val="2"/>
      <w:sz w:val="44"/>
      <w:szCs w:val="20"/>
      <w:lang w:val="en-US" w:eastAsia="zh-CN" w:bidi="ar-SA"/>
    </w:rPr>
  </w:style>
  <w:style w:type="paragraph" w:customStyle="1" w:styleId="12">
    <w:name w:val="正文11"/>
    <w:next w:val="8"/>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标题 21"/>
    <w:next w:val="12"/>
    <w:autoRedefine/>
    <w:qFormat/>
    <w:uiPriority w:val="0"/>
    <w:pPr>
      <w:keepNext/>
      <w:keepLines/>
      <w:widowControl w:val="0"/>
      <w:spacing w:before="260" w:after="260" w:line="408" w:lineRule="auto"/>
      <w:jc w:val="both"/>
      <w:outlineLvl w:val="1"/>
    </w:pPr>
    <w:rPr>
      <w:rFonts w:ascii="Arial" w:hAnsi="Arial" w:eastAsia="黑体" w:cs="Times New Roman"/>
      <w:b/>
      <w:kern w:val="2"/>
      <w:sz w:val="32"/>
      <w:szCs w:val="2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2026-04-16T06:29:00Z</dcterms:created>
  <dc:creator>刘天鹏</dc:creator>
  <cp:lastModifiedBy>刘天鹏</cp:lastModifiedBy>
  <dcterms:modified xsi:type="dcterms:W3CDTF">2026-04-16T06:32:39Z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5470B168A6E348AEABE90502609CB6FE_11</vt:lpwstr>
  </property>
  <property fmtid="{D5CDD505-2E9C-101B-9397-08002B2CF9AE}" pid="4" name="KSOTemplateDocerSaveRecord">
    <vt:lpwstr>eyJoZGlkIjoiZmVmMTEwNjA4YjYxMjM0ODEzODkzMjE5NDEyMzgyODEiLCJ1c2VySWQiOiI0NDE4MDAwMTIifQ==</vt:lpwstr>
  </property>
</Properties>
</file>